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FEFB3D" w14:textId="77777777" w:rsidR="00F0579F" w:rsidRPr="00EA2734" w:rsidRDefault="00F0579F" w:rsidP="00FC23ED">
      <w:pPr>
        <w:rPr>
          <w:rFonts w:ascii="Arial" w:hAnsi="Arial" w:cs="Arial"/>
          <w:sz w:val="20"/>
          <w:szCs w:val="20"/>
          <w:lang w:val="en-GB"/>
        </w:rPr>
      </w:pPr>
    </w:p>
    <w:p w14:paraId="4BF92462" w14:textId="77777777" w:rsidR="00093C31" w:rsidRPr="00EA2734" w:rsidRDefault="00093C31" w:rsidP="00FC23ED">
      <w:pPr>
        <w:rPr>
          <w:rFonts w:ascii="Arial" w:hAnsi="Arial" w:cs="Arial"/>
          <w:sz w:val="20"/>
          <w:szCs w:val="20"/>
          <w:lang w:val="en-GB"/>
        </w:rPr>
      </w:pPr>
    </w:p>
    <w:p w14:paraId="2FF5998C" w14:textId="77777777" w:rsidR="00093C31" w:rsidRPr="00EA2734" w:rsidRDefault="00093C31" w:rsidP="00FC23ED">
      <w:pPr>
        <w:rPr>
          <w:rFonts w:ascii="Arial" w:hAnsi="Arial" w:cs="Arial"/>
          <w:sz w:val="20"/>
          <w:szCs w:val="20"/>
          <w:lang w:val="en-GB"/>
        </w:rPr>
      </w:pPr>
    </w:p>
    <w:p w14:paraId="7C105072" w14:textId="77777777" w:rsidR="00093C31" w:rsidRPr="00EA2734" w:rsidRDefault="00093C31" w:rsidP="00FC23ED">
      <w:pPr>
        <w:jc w:val="center"/>
        <w:rPr>
          <w:rFonts w:ascii="Arial" w:hAnsi="Arial" w:cs="Arial"/>
          <w:sz w:val="20"/>
          <w:szCs w:val="20"/>
          <w:lang w:val="en-GB"/>
        </w:rPr>
      </w:pPr>
    </w:p>
    <w:p w14:paraId="18EB1549" w14:textId="77777777" w:rsidR="005369FD" w:rsidRPr="00EA2734" w:rsidRDefault="005369FD" w:rsidP="00FC23ED">
      <w:pPr>
        <w:pStyle w:val="MsrSection1"/>
        <w:jc w:val="center"/>
        <w:rPr>
          <w:i w:val="0"/>
          <w:sz w:val="20"/>
          <w:szCs w:val="20"/>
          <w:lang w:val="en-GB"/>
        </w:rPr>
      </w:pPr>
    </w:p>
    <w:p w14:paraId="0D9C4C57" w14:textId="77777777" w:rsidR="005369FD" w:rsidRPr="00EA2734" w:rsidRDefault="007B5EF9" w:rsidP="00FC23ED">
      <w:pPr>
        <w:pStyle w:val="MsrSection1"/>
        <w:jc w:val="center"/>
        <w:rPr>
          <w:i w:val="0"/>
          <w:sz w:val="20"/>
          <w:szCs w:val="20"/>
          <w:lang w:val="en-GB"/>
        </w:rPr>
      </w:pPr>
      <w:bookmarkStart w:id="0" w:name="_Toc288083904"/>
      <w:bookmarkStart w:id="1" w:name="_Toc288086874"/>
      <w:bookmarkStart w:id="2" w:name="_Toc288087289"/>
      <w:bookmarkStart w:id="3" w:name="_Toc288088072"/>
      <w:bookmarkStart w:id="4" w:name="_Toc288088354"/>
      <w:bookmarkStart w:id="5" w:name="_Toc288088818"/>
      <w:bookmarkStart w:id="6" w:name="_Toc288089590"/>
      <w:bookmarkStart w:id="7" w:name="_Toc288089626"/>
      <w:bookmarkStart w:id="8" w:name="_Toc288114684"/>
      <w:bookmarkStart w:id="9" w:name="_Toc288114779"/>
      <w:bookmarkStart w:id="10" w:name="_Toc288119095"/>
      <w:bookmarkStart w:id="11" w:name="_Toc288149037"/>
      <w:bookmarkStart w:id="12" w:name="_Toc288235391"/>
      <w:bookmarkStart w:id="13" w:name="_Toc288235991"/>
      <w:bookmarkStart w:id="14" w:name="_Toc288236315"/>
      <w:bookmarkStart w:id="15" w:name="_Toc288490918"/>
      <w:bookmarkStart w:id="16" w:name="_Toc301252576"/>
      <w:bookmarkStart w:id="17" w:name="_Toc301252653"/>
      <w:bookmarkStart w:id="18" w:name="_Toc301253029"/>
      <w:bookmarkStart w:id="19" w:name="_Toc301253872"/>
      <w:bookmarkStart w:id="20" w:name="_Toc301254493"/>
      <w:bookmarkStart w:id="21" w:name="_Toc301255224"/>
      <w:bookmarkStart w:id="22" w:name="_Toc301257496"/>
      <w:bookmarkStart w:id="23" w:name="_Toc301258664"/>
      <w:bookmarkStart w:id="24" w:name="_Toc332109141"/>
      <w:bookmarkStart w:id="25" w:name="_Toc332111140"/>
      <w:bookmarkStart w:id="26" w:name="_Toc332111169"/>
      <w:bookmarkStart w:id="27" w:name="_Toc465945639"/>
      <w:r w:rsidRPr="00EA2734">
        <w:rPr>
          <w:i w:val="0"/>
          <w:noProof/>
          <w:sz w:val="20"/>
          <w:szCs w:val="20"/>
          <w:lang w:val="en-GB"/>
        </w:rPr>
        <w:drawing>
          <wp:inline distT="0" distB="0" distL="0" distR="0" wp14:anchorId="11C11B1A" wp14:editId="383980A6">
            <wp:extent cx="4174490" cy="1288415"/>
            <wp:effectExtent l="0" t="0" r="0" b="6985"/>
            <wp:docPr id="1" name="Obraz 1" descr="Opis: UAKTUALNIONE LOGO_OPT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UAKTUALNIONE LOGO_OPTEA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4490" cy="1288415"/>
                    </a:xfrm>
                    <a:prstGeom prst="rect">
                      <a:avLst/>
                    </a:prstGeom>
                    <a:noFill/>
                    <a:ln>
                      <a:noFill/>
                    </a:ln>
                  </pic:spPr>
                </pic:pic>
              </a:graphicData>
            </a:graphic>
          </wp:inline>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40296FA3" w14:textId="77777777" w:rsidR="005369FD" w:rsidRPr="00EA2734" w:rsidRDefault="005369FD" w:rsidP="00FC23ED">
      <w:pPr>
        <w:pStyle w:val="Zwykytekst"/>
        <w:rPr>
          <w:rFonts w:ascii="Arial" w:hAnsi="Arial" w:cs="Arial"/>
          <w:lang w:val="en-GB"/>
        </w:rPr>
      </w:pPr>
    </w:p>
    <w:p w14:paraId="10AC8560" w14:textId="77777777" w:rsidR="005369FD" w:rsidRPr="00EA2734" w:rsidRDefault="005369FD" w:rsidP="00FC23ED">
      <w:pPr>
        <w:pStyle w:val="Zwykytekst"/>
        <w:rPr>
          <w:rFonts w:ascii="Arial" w:hAnsi="Arial" w:cs="Arial"/>
          <w:lang w:val="en-GB"/>
        </w:rPr>
      </w:pPr>
    </w:p>
    <w:p w14:paraId="45858074" w14:textId="3AB2B26E" w:rsidR="007369D8" w:rsidRPr="00EA2734" w:rsidRDefault="00827E41" w:rsidP="000254BD">
      <w:pPr>
        <w:pStyle w:val="MsrSection1"/>
        <w:spacing w:before="480" w:after="120"/>
        <w:ind w:left="357" w:hanging="357"/>
        <w:jc w:val="center"/>
        <w:rPr>
          <w:rFonts w:ascii="Arial Narrow" w:hAnsi="Arial Narrow"/>
          <w:i w:val="0"/>
          <w:color w:val="0F243E" w:themeColor="text2" w:themeShade="80"/>
          <w:sz w:val="32"/>
          <w:szCs w:val="36"/>
          <w:lang w:val="en-GB"/>
        </w:rPr>
      </w:pPr>
      <w:bookmarkStart w:id="28" w:name="_Toc465945640"/>
      <w:r w:rsidRPr="00EA2734">
        <w:rPr>
          <w:rFonts w:ascii="Arial Narrow" w:hAnsi="Arial Narrow"/>
          <w:i w:val="0"/>
          <w:color w:val="0F243E" w:themeColor="text2" w:themeShade="80"/>
          <w:sz w:val="32"/>
          <w:szCs w:val="36"/>
          <w:lang w:val="en-GB"/>
        </w:rPr>
        <w:t>Management report on activities</w:t>
      </w:r>
      <w:bookmarkEnd w:id="28"/>
    </w:p>
    <w:p w14:paraId="2D9DAE0B" w14:textId="601AC550" w:rsidR="000254BD" w:rsidRPr="00EA2734" w:rsidRDefault="00827E41" w:rsidP="000254BD">
      <w:pPr>
        <w:pStyle w:val="MsrSection1"/>
        <w:spacing w:before="480" w:after="120"/>
        <w:ind w:left="357" w:hanging="357"/>
        <w:jc w:val="center"/>
        <w:rPr>
          <w:rFonts w:ascii="Arial Narrow" w:hAnsi="Arial Narrow"/>
          <w:i w:val="0"/>
          <w:color w:val="0F243E" w:themeColor="text2" w:themeShade="80"/>
          <w:sz w:val="32"/>
          <w:szCs w:val="36"/>
          <w:lang w:val="en-GB"/>
        </w:rPr>
      </w:pPr>
      <w:bookmarkStart w:id="29" w:name="_Toc270698112"/>
      <w:bookmarkStart w:id="30" w:name="_Toc288083906"/>
      <w:bookmarkStart w:id="31" w:name="_Toc288086876"/>
      <w:bookmarkStart w:id="32" w:name="_Toc288087291"/>
      <w:bookmarkStart w:id="33" w:name="_Toc288088074"/>
      <w:bookmarkStart w:id="34" w:name="_Toc288088356"/>
      <w:bookmarkStart w:id="35" w:name="_Toc288088820"/>
      <w:bookmarkStart w:id="36" w:name="_Toc288089592"/>
      <w:bookmarkStart w:id="37" w:name="_Toc288089628"/>
      <w:bookmarkStart w:id="38" w:name="_Toc288114686"/>
      <w:bookmarkStart w:id="39" w:name="_Toc288114781"/>
      <w:bookmarkStart w:id="40" w:name="_Toc288119097"/>
      <w:bookmarkStart w:id="41" w:name="_Toc288149040"/>
      <w:bookmarkStart w:id="42" w:name="_Toc288235394"/>
      <w:bookmarkStart w:id="43" w:name="_Toc288235994"/>
      <w:bookmarkStart w:id="44" w:name="_Toc288236318"/>
      <w:bookmarkStart w:id="45" w:name="_Toc288490921"/>
      <w:bookmarkStart w:id="46" w:name="_Toc301252579"/>
      <w:bookmarkStart w:id="47" w:name="_Toc301252656"/>
      <w:bookmarkStart w:id="48" w:name="_Toc301253032"/>
      <w:bookmarkStart w:id="49" w:name="_Toc301253875"/>
      <w:bookmarkStart w:id="50" w:name="_Toc301254496"/>
      <w:bookmarkStart w:id="51" w:name="_Toc301255227"/>
      <w:bookmarkStart w:id="52" w:name="_Toc301257499"/>
      <w:bookmarkStart w:id="53" w:name="_Toc301258667"/>
      <w:bookmarkStart w:id="54" w:name="_Toc231793329"/>
      <w:bookmarkStart w:id="55" w:name="_Toc231793423"/>
      <w:bookmarkStart w:id="56" w:name="_Toc231793456"/>
      <w:bookmarkStart w:id="57" w:name="_Toc231793544"/>
      <w:bookmarkStart w:id="58" w:name="_Toc231793964"/>
      <w:bookmarkStart w:id="59" w:name="_Toc231795630"/>
      <w:bookmarkStart w:id="60" w:name="_Toc231941312"/>
      <w:bookmarkStart w:id="61" w:name="_Toc232222313"/>
      <w:bookmarkStart w:id="62" w:name="_Toc236214819"/>
      <w:bookmarkStart w:id="63" w:name="_Toc236221259"/>
      <w:bookmarkStart w:id="64" w:name="_Toc237411072"/>
      <w:bookmarkStart w:id="65" w:name="_Toc259608488"/>
      <w:bookmarkStart w:id="66" w:name="_Toc259609017"/>
      <w:bookmarkStart w:id="67" w:name="_Toc259619502"/>
      <w:bookmarkStart w:id="68" w:name="_Toc268858306"/>
      <w:bookmarkStart w:id="69" w:name="_Toc269906623"/>
      <w:bookmarkStart w:id="70" w:name="_Toc269906684"/>
      <w:bookmarkStart w:id="71" w:name="_Toc332109143"/>
      <w:bookmarkStart w:id="72" w:name="_Toc332111142"/>
      <w:bookmarkStart w:id="73" w:name="_Toc332111171"/>
      <w:bookmarkStart w:id="74" w:name="_Toc46594564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EA2734">
        <w:rPr>
          <w:rFonts w:ascii="Arial Narrow" w:hAnsi="Arial Narrow"/>
          <w:i w:val="0"/>
          <w:color w:val="0F243E" w:themeColor="text2" w:themeShade="80"/>
          <w:sz w:val="32"/>
          <w:szCs w:val="36"/>
          <w:lang w:val="en-GB"/>
        </w:rPr>
        <w:t xml:space="preserve">of </w:t>
      </w:r>
      <w:proofErr w:type="spellStart"/>
      <w:r w:rsidR="000254BD" w:rsidRPr="00EA2734">
        <w:rPr>
          <w:rFonts w:ascii="Arial Narrow" w:hAnsi="Arial Narrow"/>
          <w:i w:val="0"/>
          <w:color w:val="0F243E" w:themeColor="text2" w:themeShade="80"/>
          <w:sz w:val="32"/>
          <w:szCs w:val="36"/>
          <w:lang w:val="en-GB"/>
        </w:rPr>
        <w:t>OPTeam</w:t>
      </w:r>
      <w:proofErr w:type="spellEnd"/>
      <w:r w:rsidR="000254BD" w:rsidRPr="00EA2734">
        <w:rPr>
          <w:rFonts w:ascii="Arial Narrow" w:hAnsi="Arial Narrow"/>
          <w:i w:val="0"/>
          <w:color w:val="0F243E" w:themeColor="text2" w:themeShade="80"/>
          <w:sz w:val="32"/>
          <w:szCs w:val="36"/>
          <w:lang w:val="en-GB"/>
        </w:rPr>
        <w:t xml:space="preserve"> S.A.</w:t>
      </w:r>
      <w:bookmarkEnd w:id="71"/>
      <w:bookmarkEnd w:id="72"/>
      <w:bookmarkEnd w:id="73"/>
      <w:bookmarkEnd w:id="74"/>
      <w:r w:rsidR="000254BD" w:rsidRPr="00EA2734">
        <w:rPr>
          <w:rFonts w:ascii="Arial Narrow" w:hAnsi="Arial Narrow"/>
          <w:i w:val="0"/>
          <w:color w:val="0F243E" w:themeColor="text2" w:themeShade="80"/>
          <w:sz w:val="32"/>
          <w:szCs w:val="36"/>
          <w:lang w:val="en-GB"/>
        </w:rPr>
        <w:t xml:space="preserve"> </w:t>
      </w:r>
    </w:p>
    <w:p w14:paraId="152AB5EA" w14:textId="25A00829" w:rsidR="000254BD" w:rsidRPr="00EA2734" w:rsidRDefault="00827E41" w:rsidP="000254BD">
      <w:pPr>
        <w:pStyle w:val="MsrSection1"/>
        <w:spacing w:before="480" w:after="120"/>
        <w:ind w:left="357" w:hanging="357"/>
        <w:jc w:val="center"/>
        <w:rPr>
          <w:rFonts w:ascii="Arial Narrow" w:hAnsi="Arial Narrow"/>
          <w:i w:val="0"/>
          <w:color w:val="0F243E" w:themeColor="text2" w:themeShade="80"/>
          <w:sz w:val="32"/>
          <w:szCs w:val="36"/>
          <w:lang w:val="en-GB"/>
        </w:rPr>
      </w:pPr>
      <w:bookmarkStart w:id="75" w:name="_Toc259619503"/>
      <w:bookmarkStart w:id="76" w:name="_Toc288149041"/>
      <w:bookmarkStart w:id="77" w:name="_Toc288235395"/>
      <w:bookmarkStart w:id="78" w:name="_Toc288235995"/>
      <w:bookmarkStart w:id="79" w:name="_Toc288236319"/>
      <w:bookmarkStart w:id="80" w:name="_Toc288490922"/>
      <w:bookmarkStart w:id="81" w:name="_Toc268858307"/>
      <w:bookmarkStart w:id="82" w:name="_Toc269906624"/>
      <w:bookmarkStart w:id="83" w:name="_Toc269906685"/>
      <w:bookmarkStart w:id="84" w:name="_Toc270698113"/>
      <w:bookmarkStart w:id="85" w:name="_Toc301252580"/>
      <w:bookmarkStart w:id="86" w:name="_Toc301252657"/>
      <w:bookmarkStart w:id="87" w:name="_Toc301253033"/>
      <w:bookmarkStart w:id="88" w:name="_Toc301253876"/>
      <w:bookmarkStart w:id="89" w:name="_Toc301254497"/>
      <w:bookmarkStart w:id="90" w:name="_Toc301255228"/>
      <w:bookmarkStart w:id="91" w:name="_Toc301257500"/>
      <w:bookmarkStart w:id="92" w:name="_Toc301258668"/>
      <w:bookmarkStart w:id="93" w:name="_Toc231793330"/>
      <w:bookmarkStart w:id="94" w:name="_Toc231793424"/>
      <w:bookmarkStart w:id="95" w:name="_Toc231793457"/>
      <w:bookmarkStart w:id="96" w:name="_Toc231793545"/>
      <w:bookmarkStart w:id="97" w:name="_Toc231793965"/>
      <w:bookmarkStart w:id="98" w:name="_Toc231795631"/>
      <w:bookmarkStart w:id="99" w:name="_Toc231941313"/>
      <w:bookmarkStart w:id="100" w:name="_Toc232222314"/>
      <w:bookmarkStart w:id="101" w:name="_Toc236214820"/>
      <w:bookmarkStart w:id="102" w:name="_Toc236221260"/>
      <w:bookmarkStart w:id="103" w:name="_Toc237411073"/>
      <w:bookmarkStart w:id="104" w:name="_Toc259608489"/>
      <w:bookmarkStart w:id="105" w:name="_Toc259609018"/>
      <w:bookmarkStart w:id="106" w:name="_Toc332109144"/>
      <w:bookmarkStart w:id="107" w:name="_Toc332111143"/>
      <w:bookmarkStart w:id="108" w:name="_Toc332111172"/>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EA2734">
        <w:rPr>
          <w:rFonts w:ascii="Arial Narrow" w:hAnsi="Arial Narrow"/>
          <w:i w:val="0"/>
          <w:color w:val="0F243E" w:themeColor="text2" w:themeShade="80"/>
          <w:sz w:val="32"/>
          <w:szCs w:val="36"/>
          <w:lang w:val="en-GB"/>
        </w:rPr>
        <w:t xml:space="preserve"> </w:t>
      </w:r>
      <w:r w:rsidR="000254BD" w:rsidRPr="00EA2734">
        <w:rPr>
          <w:rFonts w:ascii="Arial Narrow" w:hAnsi="Arial Narrow"/>
          <w:i w:val="0"/>
          <w:color w:val="0F243E" w:themeColor="text2" w:themeShade="80"/>
          <w:sz w:val="32"/>
          <w:szCs w:val="36"/>
          <w:lang w:val="en-GB"/>
        </w:rPr>
        <w:t xml:space="preserve"> </w:t>
      </w:r>
      <w:bookmarkStart w:id="109" w:name="_Toc465945642"/>
      <w:r w:rsidRPr="00EA2734">
        <w:rPr>
          <w:rFonts w:ascii="Arial Narrow" w:hAnsi="Arial Narrow"/>
          <w:i w:val="0"/>
          <w:color w:val="0F243E" w:themeColor="text2" w:themeShade="80"/>
          <w:sz w:val="32"/>
          <w:szCs w:val="36"/>
          <w:lang w:val="en-GB"/>
        </w:rPr>
        <w:t xml:space="preserve">in H1 of </w:t>
      </w:r>
      <w:r w:rsidR="000254BD" w:rsidRPr="00EA2734">
        <w:rPr>
          <w:rFonts w:ascii="Arial Narrow" w:hAnsi="Arial Narrow"/>
          <w:i w:val="0"/>
          <w:color w:val="0F243E" w:themeColor="text2" w:themeShade="80"/>
          <w:sz w:val="32"/>
          <w:szCs w:val="36"/>
          <w:lang w:val="en-GB"/>
        </w:rPr>
        <w:t>201</w:t>
      </w:r>
      <w:r w:rsidR="00746492" w:rsidRPr="00EA2734">
        <w:rPr>
          <w:rFonts w:ascii="Arial Narrow" w:hAnsi="Arial Narrow"/>
          <w:i w:val="0"/>
          <w:color w:val="0F243E" w:themeColor="text2" w:themeShade="80"/>
          <w:sz w:val="32"/>
          <w:szCs w:val="36"/>
          <w:lang w:val="en-GB"/>
        </w:rPr>
        <w:t>6</w:t>
      </w:r>
      <w:bookmarkEnd w:id="106"/>
      <w:bookmarkEnd w:id="107"/>
      <w:bookmarkEnd w:id="108"/>
      <w:bookmarkEnd w:id="109"/>
    </w:p>
    <w:p w14:paraId="22918449" w14:textId="161F4428" w:rsidR="00294571" w:rsidRPr="00EA2734" w:rsidRDefault="00827E41" w:rsidP="00294571">
      <w:pPr>
        <w:pStyle w:val="Zwykytekst"/>
        <w:jc w:val="center"/>
        <w:rPr>
          <w:rFonts w:ascii="Arial Narrow" w:hAnsi="Arial Narrow" w:cs="Arial"/>
          <w:b/>
          <w:bCs/>
          <w:iCs/>
          <w:color w:val="0F243E" w:themeColor="text2" w:themeShade="80"/>
          <w:sz w:val="32"/>
          <w:szCs w:val="36"/>
          <w:lang w:val="en-GB"/>
        </w:rPr>
      </w:pPr>
      <w:r w:rsidRPr="00EA2734">
        <w:rPr>
          <w:rFonts w:ascii="Arial Narrow" w:hAnsi="Arial Narrow" w:cs="Arial"/>
          <w:b/>
          <w:bCs/>
          <w:iCs/>
          <w:color w:val="0F243E" w:themeColor="text2" w:themeShade="80"/>
          <w:sz w:val="32"/>
          <w:szCs w:val="36"/>
          <w:lang w:val="en-GB"/>
        </w:rPr>
        <w:t>i.e.</w:t>
      </w:r>
      <w:r w:rsidR="00294571" w:rsidRPr="00EA2734">
        <w:rPr>
          <w:rFonts w:ascii="Arial Narrow" w:hAnsi="Arial Narrow" w:cs="Arial"/>
          <w:b/>
          <w:bCs/>
          <w:iCs/>
          <w:color w:val="0F243E" w:themeColor="text2" w:themeShade="80"/>
          <w:sz w:val="32"/>
          <w:szCs w:val="36"/>
          <w:lang w:val="en-GB"/>
        </w:rPr>
        <w:t xml:space="preserve"> </w:t>
      </w:r>
      <w:r w:rsidRPr="00EA2734">
        <w:rPr>
          <w:rFonts w:ascii="Arial Narrow" w:hAnsi="Arial Narrow" w:cs="Arial"/>
          <w:b/>
          <w:bCs/>
          <w:iCs/>
          <w:color w:val="0F243E" w:themeColor="text2" w:themeShade="80"/>
          <w:sz w:val="32"/>
          <w:szCs w:val="36"/>
          <w:lang w:val="en-GB"/>
        </w:rPr>
        <w:t>from</w:t>
      </w:r>
      <w:r w:rsidR="00207F72" w:rsidRPr="00EA2734">
        <w:rPr>
          <w:rFonts w:ascii="Arial Narrow" w:hAnsi="Arial Narrow" w:cs="Arial"/>
          <w:b/>
          <w:bCs/>
          <w:iCs/>
          <w:color w:val="0F243E" w:themeColor="text2" w:themeShade="80"/>
          <w:sz w:val="32"/>
          <w:szCs w:val="36"/>
          <w:lang w:val="en-GB"/>
        </w:rPr>
        <w:t xml:space="preserve"> 01.01.201</w:t>
      </w:r>
      <w:r w:rsidR="00746492" w:rsidRPr="00EA2734">
        <w:rPr>
          <w:rFonts w:ascii="Arial Narrow" w:hAnsi="Arial Narrow" w:cs="Arial"/>
          <w:b/>
          <w:bCs/>
          <w:iCs/>
          <w:color w:val="0F243E" w:themeColor="text2" w:themeShade="80"/>
          <w:sz w:val="32"/>
          <w:szCs w:val="36"/>
          <w:lang w:val="en-GB"/>
        </w:rPr>
        <w:t>6</w:t>
      </w:r>
      <w:r w:rsidRPr="00EA2734">
        <w:rPr>
          <w:rFonts w:ascii="Arial Narrow" w:hAnsi="Arial Narrow" w:cs="Arial"/>
          <w:b/>
          <w:bCs/>
          <w:iCs/>
          <w:color w:val="0F243E" w:themeColor="text2" w:themeShade="80"/>
          <w:sz w:val="32"/>
          <w:szCs w:val="36"/>
          <w:lang w:val="en-GB"/>
        </w:rPr>
        <w:t xml:space="preserve"> to</w:t>
      </w:r>
      <w:r w:rsidR="00294571" w:rsidRPr="00EA2734">
        <w:rPr>
          <w:rFonts w:ascii="Arial Narrow" w:hAnsi="Arial Narrow" w:cs="Arial"/>
          <w:b/>
          <w:bCs/>
          <w:iCs/>
          <w:color w:val="0F243E" w:themeColor="text2" w:themeShade="80"/>
          <w:sz w:val="32"/>
          <w:szCs w:val="36"/>
          <w:lang w:val="en-GB"/>
        </w:rPr>
        <w:t xml:space="preserve"> 30.0</w:t>
      </w:r>
      <w:r w:rsidR="00CD05FD" w:rsidRPr="00EA2734">
        <w:rPr>
          <w:rFonts w:ascii="Arial Narrow" w:hAnsi="Arial Narrow" w:cs="Arial"/>
          <w:b/>
          <w:bCs/>
          <w:iCs/>
          <w:color w:val="0F243E" w:themeColor="text2" w:themeShade="80"/>
          <w:sz w:val="32"/>
          <w:szCs w:val="36"/>
          <w:lang w:val="en-GB"/>
        </w:rPr>
        <w:t>6</w:t>
      </w:r>
      <w:r w:rsidR="00207F72" w:rsidRPr="00EA2734">
        <w:rPr>
          <w:rFonts w:ascii="Arial Narrow" w:hAnsi="Arial Narrow" w:cs="Arial"/>
          <w:b/>
          <w:bCs/>
          <w:iCs/>
          <w:color w:val="0F243E" w:themeColor="text2" w:themeShade="80"/>
          <w:sz w:val="32"/>
          <w:szCs w:val="36"/>
          <w:lang w:val="en-GB"/>
        </w:rPr>
        <w:t>.201</w:t>
      </w:r>
      <w:r w:rsidR="00746492" w:rsidRPr="00EA2734">
        <w:rPr>
          <w:rFonts w:ascii="Arial Narrow" w:hAnsi="Arial Narrow" w:cs="Arial"/>
          <w:b/>
          <w:bCs/>
          <w:iCs/>
          <w:color w:val="0F243E" w:themeColor="text2" w:themeShade="80"/>
          <w:sz w:val="32"/>
          <w:szCs w:val="36"/>
          <w:lang w:val="en-GB"/>
        </w:rPr>
        <w:t>6</w:t>
      </w:r>
    </w:p>
    <w:p w14:paraId="438CB9CA" w14:textId="77777777" w:rsidR="00854446" w:rsidRPr="00EA2734" w:rsidRDefault="00854446" w:rsidP="00294571">
      <w:pPr>
        <w:pStyle w:val="Zwykytekst"/>
        <w:jc w:val="center"/>
        <w:rPr>
          <w:rFonts w:ascii="Arial" w:hAnsi="Arial" w:cs="Arial"/>
          <w:b/>
          <w:bCs/>
          <w:iCs/>
          <w:sz w:val="32"/>
          <w:szCs w:val="36"/>
          <w:lang w:val="en-GB"/>
        </w:rPr>
      </w:pPr>
    </w:p>
    <w:p w14:paraId="08C048FC" w14:textId="77777777" w:rsidR="005369FD" w:rsidRPr="00EA2734" w:rsidRDefault="005369FD" w:rsidP="00FC23ED">
      <w:pPr>
        <w:pStyle w:val="Zwykytekst"/>
        <w:rPr>
          <w:rFonts w:ascii="Arial" w:hAnsi="Arial" w:cs="Arial"/>
          <w:lang w:val="en-GB"/>
        </w:rPr>
      </w:pPr>
    </w:p>
    <w:p w14:paraId="53BCB3C7" w14:textId="77777777" w:rsidR="005369FD" w:rsidRPr="00EA2734" w:rsidRDefault="005369FD" w:rsidP="00FC23ED">
      <w:pPr>
        <w:pStyle w:val="Zwykytekst"/>
        <w:rPr>
          <w:rFonts w:ascii="Arial" w:hAnsi="Arial" w:cs="Arial"/>
          <w:lang w:val="en-GB"/>
        </w:rPr>
      </w:pPr>
    </w:p>
    <w:p w14:paraId="0949B708" w14:textId="77777777" w:rsidR="005369FD" w:rsidRPr="00EA2734" w:rsidRDefault="005369FD" w:rsidP="00FC23ED">
      <w:pPr>
        <w:pStyle w:val="Zwykytekst"/>
        <w:jc w:val="center"/>
        <w:rPr>
          <w:rFonts w:ascii="Arial" w:hAnsi="Arial" w:cs="Arial"/>
          <w:lang w:val="en-GB"/>
        </w:rPr>
      </w:pPr>
    </w:p>
    <w:p w14:paraId="6BFF6A4C" w14:textId="77777777" w:rsidR="005369FD" w:rsidRPr="00EA2734" w:rsidRDefault="005369FD" w:rsidP="00FC23ED">
      <w:pPr>
        <w:pStyle w:val="Zwykytekst"/>
        <w:rPr>
          <w:rFonts w:ascii="Arial" w:hAnsi="Arial" w:cs="Arial"/>
          <w:lang w:val="en-GB"/>
        </w:rPr>
      </w:pPr>
    </w:p>
    <w:p w14:paraId="409DCEE2" w14:textId="77777777" w:rsidR="005369FD" w:rsidRPr="00EA2734" w:rsidRDefault="005369FD" w:rsidP="00FC23ED">
      <w:pPr>
        <w:pStyle w:val="MsrSection1"/>
        <w:jc w:val="center"/>
        <w:rPr>
          <w:i w:val="0"/>
          <w:sz w:val="20"/>
          <w:szCs w:val="20"/>
          <w:lang w:val="en-GB"/>
        </w:rPr>
      </w:pPr>
    </w:p>
    <w:p w14:paraId="011695E3" w14:textId="77777777" w:rsidR="000401DB" w:rsidRPr="00EA2734" w:rsidRDefault="000401DB" w:rsidP="000401DB">
      <w:pPr>
        <w:pStyle w:val="Zwykytekst"/>
        <w:rPr>
          <w:lang w:val="en-GB"/>
        </w:rPr>
      </w:pPr>
    </w:p>
    <w:p w14:paraId="5A80DA83" w14:textId="77777777" w:rsidR="000401DB" w:rsidRPr="00EA2734" w:rsidRDefault="000401DB" w:rsidP="000401DB">
      <w:pPr>
        <w:pStyle w:val="Zwykytekst"/>
        <w:rPr>
          <w:lang w:val="en-GB"/>
        </w:rPr>
      </w:pPr>
    </w:p>
    <w:p w14:paraId="1C4BC483" w14:textId="77777777" w:rsidR="00906A9D" w:rsidRPr="00EA2734" w:rsidRDefault="00906A9D" w:rsidP="00906A9D">
      <w:pPr>
        <w:pStyle w:val="Zwykytekst"/>
        <w:rPr>
          <w:rFonts w:ascii="Arial" w:hAnsi="Arial" w:cs="Arial"/>
          <w:lang w:val="en-GB"/>
        </w:rPr>
      </w:pPr>
    </w:p>
    <w:p w14:paraId="21BE8A44" w14:textId="63848426" w:rsidR="005369FD" w:rsidRPr="00EA2734" w:rsidRDefault="00906A9D" w:rsidP="00B54B25">
      <w:pPr>
        <w:pStyle w:val="MsrParagraph"/>
        <w:spacing w:line="240" w:lineRule="auto"/>
        <w:ind w:firstLine="0"/>
        <w:jc w:val="center"/>
        <w:rPr>
          <w:rFonts w:cs="Arial"/>
          <w:color w:val="0F243E" w:themeColor="text2" w:themeShade="80"/>
          <w:lang w:val="en-GB"/>
        </w:rPr>
      </w:pPr>
      <w:bookmarkStart w:id="110" w:name="_Toc231793331"/>
      <w:bookmarkStart w:id="111" w:name="_Toc231793425"/>
      <w:bookmarkStart w:id="112" w:name="_Toc231793458"/>
      <w:bookmarkStart w:id="113" w:name="_Toc231793546"/>
      <w:bookmarkStart w:id="114" w:name="_Toc231793966"/>
      <w:bookmarkStart w:id="115" w:name="_Toc231795632"/>
      <w:bookmarkStart w:id="116" w:name="_Toc231941314"/>
      <w:bookmarkStart w:id="117" w:name="_Toc232222315"/>
      <w:bookmarkStart w:id="118" w:name="_Toc236214821"/>
      <w:bookmarkStart w:id="119" w:name="_Toc236221261"/>
      <w:bookmarkStart w:id="120" w:name="_Toc237411074"/>
      <w:bookmarkStart w:id="121" w:name="_Toc259608490"/>
      <w:bookmarkStart w:id="122" w:name="_Toc259609019"/>
      <w:bookmarkStart w:id="123" w:name="_Toc259619504"/>
      <w:bookmarkStart w:id="124" w:name="_Toc268858308"/>
      <w:bookmarkStart w:id="125" w:name="_Toc269906625"/>
      <w:bookmarkStart w:id="126" w:name="_Toc269906686"/>
      <w:bookmarkStart w:id="127" w:name="_Toc270698114"/>
      <w:proofErr w:type="spellStart"/>
      <w:r w:rsidRPr="00EA2734">
        <w:rPr>
          <w:rFonts w:cs="Arial"/>
          <w:color w:val="0F243E" w:themeColor="text2" w:themeShade="80"/>
          <w:lang w:val="en-GB"/>
        </w:rPr>
        <w:t>Tajęcina</w:t>
      </w:r>
      <w:proofErr w:type="spellEnd"/>
      <w:r w:rsidR="005369FD" w:rsidRPr="00EA2734">
        <w:rPr>
          <w:rFonts w:cs="Arial"/>
          <w:color w:val="0F243E" w:themeColor="text2" w:themeShade="80"/>
          <w:lang w:val="en-GB"/>
        </w:rPr>
        <w:t xml:space="preserve">, </w:t>
      </w:r>
      <w:r w:rsidR="00827E41" w:rsidRPr="00EA2734">
        <w:rPr>
          <w:rFonts w:cs="Arial"/>
          <w:color w:val="0F243E" w:themeColor="text2" w:themeShade="80"/>
          <w:lang w:val="en-GB"/>
        </w:rPr>
        <w:t>31 August</w:t>
      </w:r>
      <w:r w:rsidR="005369FD" w:rsidRPr="00EA2734">
        <w:rPr>
          <w:rFonts w:cs="Arial"/>
          <w:color w:val="0F243E" w:themeColor="text2" w:themeShade="80"/>
          <w:lang w:val="en-GB"/>
        </w:rPr>
        <w:t xml:space="preserve"> 201</w:t>
      </w:r>
      <w:r w:rsidR="00746492" w:rsidRPr="00EA2734">
        <w:rPr>
          <w:rFonts w:cs="Arial"/>
          <w:color w:val="0F243E" w:themeColor="text2" w:themeShade="80"/>
          <w:lang w:val="en-GB"/>
        </w:rPr>
        <w:t>6</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25CB20C8" w14:textId="77777777" w:rsidR="00093C31" w:rsidRPr="00EA2734" w:rsidRDefault="00093C31" w:rsidP="00B54B25">
      <w:pPr>
        <w:pStyle w:val="MsrParagraph"/>
        <w:spacing w:line="240" w:lineRule="auto"/>
        <w:ind w:firstLine="0"/>
        <w:jc w:val="center"/>
        <w:rPr>
          <w:rFonts w:cs="Arial"/>
          <w:color w:val="0F243E" w:themeColor="text2" w:themeShade="80"/>
          <w:lang w:val="en-GB"/>
        </w:rPr>
      </w:pPr>
    </w:p>
    <w:p w14:paraId="7CB55678" w14:textId="77777777" w:rsidR="00240C17" w:rsidRPr="00EA2734" w:rsidRDefault="00240C17" w:rsidP="00FC23ED">
      <w:pPr>
        <w:rPr>
          <w:rFonts w:ascii="Arial" w:hAnsi="Arial" w:cs="Arial"/>
          <w:sz w:val="20"/>
          <w:szCs w:val="20"/>
          <w:lang w:val="en-GB"/>
        </w:rPr>
      </w:pPr>
    </w:p>
    <w:p w14:paraId="53C3342D" w14:textId="77777777" w:rsidR="007369D8" w:rsidRPr="00EA2734" w:rsidRDefault="007369D8" w:rsidP="00FC23ED">
      <w:pPr>
        <w:rPr>
          <w:rFonts w:ascii="Arial" w:hAnsi="Arial" w:cs="Arial"/>
          <w:b/>
          <w:lang w:val="en-GB"/>
        </w:rPr>
      </w:pPr>
    </w:p>
    <w:p w14:paraId="02B5827C" w14:textId="77777777" w:rsidR="007369D8" w:rsidRPr="00EA2734" w:rsidRDefault="007369D8" w:rsidP="00FC23ED">
      <w:pPr>
        <w:rPr>
          <w:rFonts w:ascii="Arial" w:hAnsi="Arial" w:cs="Arial"/>
          <w:b/>
          <w:lang w:val="en-GB"/>
        </w:rPr>
      </w:pPr>
    </w:p>
    <w:p w14:paraId="085B8440" w14:textId="77777777" w:rsidR="007369D8" w:rsidRPr="00EA2734" w:rsidRDefault="007369D8" w:rsidP="00FC23ED">
      <w:pPr>
        <w:rPr>
          <w:rFonts w:ascii="Arial" w:hAnsi="Arial" w:cs="Arial"/>
          <w:b/>
          <w:lang w:val="en-GB"/>
        </w:rPr>
      </w:pPr>
    </w:p>
    <w:p w14:paraId="39ED3D61" w14:textId="77777777" w:rsidR="00B97EB1" w:rsidRPr="00EA2734" w:rsidRDefault="00B97EB1" w:rsidP="00FC23ED">
      <w:pPr>
        <w:rPr>
          <w:rFonts w:ascii="Arial" w:hAnsi="Arial" w:cs="Arial"/>
          <w:b/>
          <w:lang w:val="en-GB"/>
        </w:rPr>
      </w:pPr>
    </w:p>
    <w:p w14:paraId="5D589090" w14:textId="77777777" w:rsidR="00B97EB1" w:rsidRPr="00EA2734" w:rsidRDefault="00B97EB1" w:rsidP="00FC23ED">
      <w:pPr>
        <w:rPr>
          <w:rFonts w:ascii="Arial" w:hAnsi="Arial" w:cs="Arial"/>
          <w:b/>
          <w:lang w:val="en-GB"/>
        </w:rPr>
      </w:pPr>
    </w:p>
    <w:p w14:paraId="29AEC92B" w14:textId="77777777" w:rsidR="00B97EB1" w:rsidRPr="00EA2734" w:rsidRDefault="00B97EB1" w:rsidP="00FC23ED">
      <w:pPr>
        <w:rPr>
          <w:rFonts w:ascii="Arial" w:hAnsi="Arial" w:cs="Arial"/>
          <w:b/>
          <w:lang w:val="en-GB"/>
        </w:rPr>
      </w:pPr>
    </w:p>
    <w:p w14:paraId="31683CD5" w14:textId="273A20A6" w:rsidR="005369FD" w:rsidRPr="00EA2734" w:rsidRDefault="00827E41" w:rsidP="00FC23ED">
      <w:pPr>
        <w:rPr>
          <w:rFonts w:ascii="Arial" w:hAnsi="Arial" w:cs="Arial"/>
          <w:color w:val="0F243E" w:themeColor="text2" w:themeShade="80"/>
          <w:sz w:val="28"/>
          <w:lang w:val="en-GB"/>
        </w:rPr>
      </w:pPr>
      <w:r w:rsidRPr="00EA2734">
        <w:rPr>
          <w:rFonts w:ascii="Arial" w:hAnsi="Arial" w:cs="Arial"/>
          <w:color w:val="0F243E" w:themeColor="text2" w:themeShade="80"/>
          <w:sz w:val="28"/>
          <w:lang w:val="en-GB"/>
        </w:rPr>
        <w:t>List of contents</w:t>
      </w:r>
    </w:p>
    <w:p w14:paraId="45F61713" w14:textId="0E38F966" w:rsidR="00545891" w:rsidRPr="00EA2734" w:rsidRDefault="006C6487">
      <w:pPr>
        <w:pStyle w:val="Spistreci1"/>
        <w:rPr>
          <w:rFonts w:asciiTheme="minorHAnsi" w:eastAsiaTheme="minorEastAsia" w:hAnsiTheme="minorHAnsi" w:cstheme="minorBidi"/>
          <w:b w:val="0"/>
          <w:bCs w:val="0"/>
          <w:iCs w:val="0"/>
          <w:lang w:val="en-GB"/>
        </w:rPr>
      </w:pPr>
      <w:r w:rsidRPr="00EA2734">
        <w:rPr>
          <w:lang w:val="en-GB"/>
        </w:rPr>
        <w:fldChar w:fldCharType="begin"/>
      </w:r>
      <w:r w:rsidR="00D33D3A" w:rsidRPr="00EA2734">
        <w:rPr>
          <w:lang w:val="en-GB"/>
        </w:rPr>
        <w:instrText xml:space="preserve"> TOC \o "1-1" \h \z \u </w:instrText>
      </w:r>
      <w:r w:rsidRPr="00EA2734">
        <w:rPr>
          <w:lang w:val="en-GB"/>
        </w:rPr>
        <w:fldChar w:fldCharType="separate"/>
      </w:r>
      <w:hyperlink w:anchor="_Toc465945639" w:history="1"/>
    </w:p>
    <w:p w14:paraId="7F1F8227" w14:textId="77777777" w:rsidR="00545891" w:rsidRPr="00EA2734" w:rsidRDefault="002E266A">
      <w:pPr>
        <w:pStyle w:val="Spistreci1"/>
        <w:rPr>
          <w:rFonts w:asciiTheme="minorHAnsi" w:eastAsiaTheme="minorEastAsia" w:hAnsiTheme="minorHAnsi" w:cstheme="minorBidi"/>
          <w:b w:val="0"/>
          <w:bCs w:val="0"/>
          <w:iCs w:val="0"/>
          <w:lang w:val="en-GB"/>
        </w:rPr>
      </w:pPr>
      <w:hyperlink w:anchor="_Toc465945643" w:history="1">
        <w:r w:rsidR="00545891" w:rsidRPr="00EA2734">
          <w:rPr>
            <w:rStyle w:val="Hipercze"/>
            <w:rFonts w:ascii="Arial Narrow" w:hAnsi="Arial Narrow" w:cs="Arial"/>
            <w:lang w:val="en-GB"/>
          </w:rPr>
          <w:t>1.</w:t>
        </w:r>
        <w:r w:rsidR="00545891" w:rsidRPr="00EA2734">
          <w:rPr>
            <w:rFonts w:asciiTheme="minorHAnsi" w:eastAsiaTheme="minorEastAsia" w:hAnsiTheme="minorHAnsi" w:cstheme="minorBidi"/>
            <w:b w:val="0"/>
            <w:bCs w:val="0"/>
            <w:iCs w:val="0"/>
            <w:lang w:val="en-GB"/>
          </w:rPr>
          <w:tab/>
        </w:r>
        <w:r w:rsidR="00545891" w:rsidRPr="00EA2734">
          <w:rPr>
            <w:rStyle w:val="Hipercze"/>
            <w:rFonts w:ascii="Arial Narrow" w:hAnsi="Arial Narrow" w:cs="Arial"/>
            <w:lang w:val="en-GB"/>
          </w:rPr>
          <w:t>Basic information about the Issuer’s organisation and operations, as well as the principles for drawing up the semi-annual condensed financial statement.</w:t>
        </w:r>
        <w:r w:rsidR="00545891" w:rsidRPr="00EA2734">
          <w:rPr>
            <w:webHidden/>
            <w:lang w:val="en-GB"/>
          </w:rPr>
          <w:tab/>
        </w:r>
        <w:r w:rsidR="00545891" w:rsidRPr="00EA2734">
          <w:rPr>
            <w:webHidden/>
            <w:lang w:val="en-GB"/>
          </w:rPr>
          <w:fldChar w:fldCharType="begin"/>
        </w:r>
        <w:r w:rsidR="00545891" w:rsidRPr="00EA2734">
          <w:rPr>
            <w:webHidden/>
            <w:lang w:val="en-GB"/>
          </w:rPr>
          <w:instrText xml:space="preserve"> PAGEREF _Toc465945643 \h </w:instrText>
        </w:r>
        <w:r w:rsidR="00545891" w:rsidRPr="00EA2734">
          <w:rPr>
            <w:webHidden/>
            <w:lang w:val="en-GB"/>
          </w:rPr>
        </w:r>
        <w:r w:rsidR="00545891" w:rsidRPr="00EA2734">
          <w:rPr>
            <w:webHidden/>
            <w:lang w:val="en-GB"/>
          </w:rPr>
          <w:fldChar w:fldCharType="separate"/>
        </w:r>
        <w:r w:rsidR="00545891" w:rsidRPr="00EA2734">
          <w:rPr>
            <w:webHidden/>
            <w:lang w:val="en-GB"/>
          </w:rPr>
          <w:t>3</w:t>
        </w:r>
        <w:r w:rsidR="00545891" w:rsidRPr="00EA2734">
          <w:rPr>
            <w:webHidden/>
            <w:lang w:val="en-GB"/>
          </w:rPr>
          <w:fldChar w:fldCharType="end"/>
        </w:r>
      </w:hyperlink>
    </w:p>
    <w:p w14:paraId="76D10149" w14:textId="77777777" w:rsidR="00545891" w:rsidRPr="00EA2734" w:rsidRDefault="002E266A">
      <w:pPr>
        <w:pStyle w:val="Spistreci1"/>
        <w:rPr>
          <w:rFonts w:asciiTheme="minorHAnsi" w:eastAsiaTheme="minorEastAsia" w:hAnsiTheme="minorHAnsi" w:cstheme="minorBidi"/>
          <w:b w:val="0"/>
          <w:bCs w:val="0"/>
          <w:iCs w:val="0"/>
          <w:lang w:val="en-GB"/>
        </w:rPr>
      </w:pPr>
      <w:hyperlink w:anchor="_Toc465945644" w:history="1">
        <w:r w:rsidR="00545891" w:rsidRPr="00EA2734">
          <w:rPr>
            <w:rStyle w:val="Hipercze"/>
            <w:rFonts w:ascii="Arial Narrow" w:hAnsi="Arial Narrow" w:cs="Arial"/>
            <w:lang w:val="en-GB"/>
          </w:rPr>
          <w:t>2.</w:t>
        </w:r>
        <w:r w:rsidR="00545891" w:rsidRPr="00EA2734">
          <w:rPr>
            <w:rFonts w:asciiTheme="minorHAnsi" w:eastAsiaTheme="minorEastAsia" w:hAnsiTheme="minorHAnsi" w:cstheme="minorBidi"/>
            <w:b w:val="0"/>
            <w:bCs w:val="0"/>
            <w:iCs w:val="0"/>
            <w:lang w:val="en-GB"/>
          </w:rPr>
          <w:tab/>
        </w:r>
        <w:r w:rsidR="00545891" w:rsidRPr="00EA2734">
          <w:rPr>
            <w:rStyle w:val="Hipercze"/>
            <w:rFonts w:ascii="Arial Narrow" w:hAnsi="Arial Narrow" w:cs="Arial"/>
            <w:lang w:val="en-GB"/>
          </w:rPr>
          <w:t>Presentation of consequences of changes in the Issuer’s organisational structure, including those due to consolidation of business units, acquisition or disposal of units, long-term investments, division, restructuring and abandonment of business.</w:t>
        </w:r>
        <w:r w:rsidR="00545891" w:rsidRPr="00EA2734">
          <w:rPr>
            <w:webHidden/>
            <w:lang w:val="en-GB"/>
          </w:rPr>
          <w:tab/>
        </w:r>
        <w:r w:rsidR="00545891" w:rsidRPr="00EA2734">
          <w:rPr>
            <w:webHidden/>
            <w:lang w:val="en-GB"/>
          </w:rPr>
          <w:fldChar w:fldCharType="begin"/>
        </w:r>
        <w:r w:rsidR="00545891" w:rsidRPr="00EA2734">
          <w:rPr>
            <w:webHidden/>
            <w:lang w:val="en-GB"/>
          </w:rPr>
          <w:instrText xml:space="preserve"> PAGEREF _Toc465945644 \h </w:instrText>
        </w:r>
        <w:r w:rsidR="00545891" w:rsidRPr="00EA2734">
          <w:rPr>
            <w:webHidden/>
            <w:lang w:val="en-GB"/>
          </w:rPr>
        </w:r>
        <w:r w:rsidR="00545891" w:rsidRPr="00EA2734">
          <w:rPr>
            <w:webHidden/>
            <w:lang w:val="en-GB"/>
          </w:rPr>
          <w:fldChar w:fldCharType="separate"/>
        </w:r>
        <w:r w:rsidR="00545891" w:rsidRPr="00EA2734">
          <w:rPr>
            <w:webHidden/>
            <w:lang w:val="en-GB"/>
          </w:rPr>
          <w:t>6</w:t>
        </w:r>
        <w:r w:rsidR="00545891" w:rsidRPr="00EA2734">
          <w:rPr>
            <w:webHidden/>
            <w:lang w:val="en-GB"/>
          </w:rPr>
          <w:fldChar w:fldCharType="end"/>
        </w:r>
      </w:hyperlink>
    </w:p>
    <w:p w14:paraId="4B2B35BF" w14:textId="77777777" w:rsidR="00545891" w:rsidRPr="00EA2734" w:rsidRDefault="002E266A">
      <w:pPr>
        <w:pStyle w:val="Spistreci1"/>
        <w:rPr>
          <w:rFonts w:asciiTheme="minorHAnsi" w:eastAsiaTheme="minorEastAsia" w:hAnsiTheme="minorHAnsi" w:cstheme="minorBidi"/>
          <w:b w:val="0"/>
          <w:bCs w:val="0"/>
          <w:iCs w:val="0"/>
          <w:lang w:val="en-GB"/>
        </w:rPr>
      </w:pPr>
      <w:hyperlink w:anchor="_Toc465945645" w:history="1">
        <w:r w:rsidR="00545891" w:rsidRPr="00EA2734">
          <w:rPr>
            <w:rStyle w:val="Hipercze"/>
            <w:rFonts w:ascii="Arial Narrow" w:hAnsi="Arial Narrow" w:cs="Arial"/>
            <w:lang w:val="en-GB"/>
          </w:rPr>
          <w:t>3.</w:t>
        </w:r>
        <w:r w:rsidR="00545891" w:rsidRPr="00EA2734">
          <w:rPr>
            <w:rFonts w:asciiTheme="minorHAnsi" w:eastAsiaTheme="minorEastAsia" w:hAnsiTheme="minorHAnsi" w:cstheme="minorBidi"/>
            <w:b w:val="0"/>
            <w:bCs w:val="0"/>
            <w:iCs w:val="0"/>
            <w:lang w:val="en-GB"/>
          </w:rPr>
          <w:tab/>
        </w:r>
        <w:r w:rsidR="00545891" w:rsidRPr="00EA2734">
          <w:rPr>
            <w:rStyle w:val="Hipercze"/>
            <w:rFonts w:ascii="Arial Narrow" w:hAnsi="Arial Narrow" w:cs="Arial"/>
            <w:lang w:val="en-GB"/>
          </w:rPr>
          <w:t>Disclosure on significant transactions concluded by the Issuer or its subsidiary with related parties not at arm’s length.</w:t>
        </w:r>
        <w:r w:rsidR="00545891" w:rsidRPr="00EA2734">
          <w:rPr>
            <w:webHidden/>
            <w:lang w:val="en-GB"/>
          </w:rPr>
          <w:tab/>
        </w:r>
        <w:r w:rsidR="00545891" w:rsidRPr="00EA2734">
          <w:rPr>
            <w:webHidden/>
            <w:lang w:val="en-GB"/>
          </w:rPr>
          <w:fldChar w:fldCharType="begin"/>
        </w:r>
        <w:r w:rsidR="00545891" w:rsidRPr="00EA2734">
          <w:rPr>
            <w:webHidden/>
            <w:lang w:val="en-GB"/>
          </w:rPr>
          <w:instrText xml:space="preserve"> PAGEREF _Toc465945645 \h </w:instrText>
        </w:r>
        <w:r w:rsidR="00545891" w:rsidRPr="00EA2734">
          <w:rPr>
            <w:webHidden/>
            <w:lang w:val="en-GB"/>
          </w:rPr>
        </w:r>
        <w:r w:rsidR="00545891" w:rsidRPr="00EA2734">
          <w:rPr>
            <w:webHidden/>
            <w:lang w:val="en-GB"/>
          </w:rPr>
          <w:fldChar w:fldCharType="separate"/>
        </w:r>
        <w:r w:rsidR="00545891" w:rsidRPr="00EA2734">
          <w:rPr>
            <w:webHidden/>
            <w:lang w:val="en-GB"/>
          </w:rPr>
          <w:t>6</w:t>
        </w:r>
        <w:r w:rsidR="00545891" w:rsidRPr="00EA2734">
          <w:rPr>
            <w:webHidden/>
            <w:lang w:val="en-GB"/>
          </w:rPr>
          <w:fldChar w:fldCharType="end"/>
        </w:r>
      </w:hyperlink>
    </w:p>
    <w:p w14:paraId="53B9AD56" w14:textId="77777777" w:rsidR="00545891" w:rsidRPr="00EA2734" w:rsidRDefault="002E266A">
      <w:pPr>
        <w:pStyle w:val="Spistreci1"/>
        <w:rPr>
          <w:rFonts w:asciiTheme="minorHAnsi" w:eastAsiaTheme="minorEastAsia" w:hAnsiTheme="minorHAnsi" w:cstheme="minorBidi"/>
          <w:b w:val="0"/>
          <w:bCs w:val="0"/>
          <w:iCs w:val="0"/>
          <w:lang w:val="en-GB"/>
        </w:rPr>
      </w:pPr>
      <w:hyperlink w:anchor="_Toc465945646" w:history="1">
        <w:r w:rsidR="00545891" w:rsidRPr="00EA2734">
          <w:rPr>
            <w:rStyle w:val="Hipercze"/>
            <w:rFonts w:ascii="Arial Narrow" w:hAnsi="Arial Narrow" w:cs="Arial"/>
            <w:lang w:val="en-GB"/>
          </w:rPr>
          <w:t>4.</w:t>
        </w:r>
        <w:r w:rsidR="00545891" w:rsidRPr="00EA2734">
          <w:rPr>
            <w:rFonts w:asciiTheme="minorHAnsi" w:eastAsiaTheme="minorEastAsia" w:hAnsiTheme="minorHAnsi" w:cstheme="minorBidi"/>
            <w:b w:val="0"/>
            <w:bCs w:val="0"/>
            <w:iCs w:val="0"/>
            <w:lang w:val="en-GB"/>
          </w:rPr>
          <w:tab/>
        </w:r>
        <w:r w:rsidR="00545891" w:rsidRPr="00EA2734">
          <w:rPr>
            <w:rStyle w:val="Hipercze"/>
            <w:rFonts w:ascii="Arial Narrow" w:hAnsi="Arial Narrow" w:cs="Arial"/>
            <w:lang w:val="en-GB"/>
          </w:rPr>
          <w:t>Description of significant risk factors and threats connected with the remainder of the business year, including the extent of exposure.</w:t>
        </w:r>
        <w:r w:rsidR="00545891" w:rsidRPr="00EA2734">
          <w:rPr>
            <w:webHidden/>
            <w:lang w:val="en-GB"/>
          </w:rPr>
          <w:tab/>
        </w:r>
        <w:r w:rsidR="00545891" w:rsidRPr="00EA2734">
          <w:rPr>
            <w:webHidden/>
            <w:lang w:val="en-GB"/>
          </w:rPr>
          <w:fldChar w:fldCharType="begin"/>
        </w:r>
        <w:r w:rsidR="00545891" w:rsidRPr="00EA2734">
          <w:rPr>
            <w:webHidden/>
            <w:lang w:val="en-GB"/>
          </w:rPr>
          <w:instrText xml:space="preserve"> PAGEREF _Toc465945646 \h </w:instrText>
        </w:r>
        <w:r w:rsidR="00545891" w:rsidRPr="00EA2734">
          <w:rPr>
            <w:webHidden/>
            <w:lang w:val="en-GB"/>
          </w:rPr>
        </w:r>
        <w:r w:rsidR="00545891" w:rsidRPr="00EA2734">
          <w:rPr>
            <w:webHidden/>
            <w:lang w:val="en-GB"/>
          </w:rPr>
          <w:fldChar w:fldCharType="separate"/>
        </w:r>
        <w:r w:rsidR="00545891" w:rsidRPr="00EA2734">
          <w:rPr>
            <w:webHidden/>
            <w:lang w:val="en-GB"/>
          </w:rPr>
          <w:t>6</w:t>
        </w:r>
        <w:r w:rsidR="00545891" w:rsidRPr="00EA2734">
          <w:rPr>
            <w:webHidden/>
            <w:lang w:val="en-GB"/>
          </w:rPr>
          <w:fldChar w:fldCharType="end"/>
        </w:r>
      </w:hyperlink>
    </w:p>
    <w:p w14:paraId="153BAAFD" w14:textId="77777777" w:rsidR="00545891" w:rsidRPr="00EA2734" w:rsidRDefault="002E266A">
      <w:pPr>
        <w:pStyle w:val="Spistreci1"/>
        <w:rPr>
          <w:rFonts w:asciiTheme="minorHAnsi" w:eastAsiaTheme="minorEastAsia" w:hAnsiTheme="minorHAnsi" w:cstheme="minorBidi"/>
          <w:b w:val="0"/>
          <w:bCs w:val="0"/>
          <w:iCs w:val="0"/>
          <w:lang w:val="en-GB"/>
        </w:rPr>
      </w:pPr>
      <w:hyperlink w:anchor="_Toc465945647" w:history="1">
        <w:r w:rsidR="00545891" w:rsidRPr="00EA2734">
          <w:rPr>
            <w:rStyle w:val="Hipercze"/>
            <w:rFonts w:ascii="Arial Narrow" w:hAnsi="Arial Narrow" w:cs="Arial"/>
            <w:lang w:val="en-GB"/>
          </w:rPr>
          <w:t>5.</w:t>
        </w:r>
        <w:r w:rsidR="00545891" w:rsidRPr="00EA2734">
          <w:rPr>
            <w:rFonts w:asciiTheme="minorHAnsi" w:eastAsiaTheme="minorEastAsia" w:hAnsiTheme="minorHAnsi" w:cstheme="minorBidi"/>
            <w:b w:val="0"/>
            <w:bCs w:val="0"/>
            <w:iCs w:val="0"/>
            <w:lang w:val="en-GB"/>
          </w:rPr>
          <w:tab/>
        </w:r>
        <w:r w:rsidR="00545891" w:rsidRPr="00EA2734">
          <w:rPr>
            <w:rStyle w:val="Hipercze"/>
            <w:rFonts w:ascii="Arial Narrow" w:hAnsi="Arial Narrow" w:cs="Arial"/>
            <w:lang w:val="en-GB"/>
          </w:rPr>
          <w:t>Identification of proceedings at court, arbitration bodies of proper jurisdiction or public administration bodies.</w:t>
        </w:r>
        <w:r w:rsidR="00545891" w:rsidRPr="00EA2734">
          <w:rPr>
            <w:webHidden/>
            <w:lang w:val="en-GB"/>
          </w:rPr>
          <w:tab/>
        </w:r>
        <w:r w:rsidR="00545891" w:rsidRPr="00EA2734">
          <w:rPr>
            <w:webHidden/>
            <w:lang w:val="en-GB"/>
          </w:rPr>
          <w:fldChar w:fldCharType="begin"/>
        </w:r>
        <w:r w:rsidR="00545891" w:rsidRPr="00EA2734">
          <w:rPr>
            <w:webHidden/>
            <w:lang w:val="en-GB"/>
          </w:rPr>
          <w:instrText xml:space="preserve"> PAGEREF _Toc465945647 \h </w:instrText>
        </w:r>
        <w:r w:rsidR="00545891" w:rsidRPr="00EA2734">
          <w:rPr>
            <w:webHidden/>
            <w:lang w:val="en-GB"/>
          </w:rPr>
        </w:r>
        <w:r w:rsidR="00545891" w:rsidRPr="00EA2734">
          <w:rPr>
            <w:webHidden/>
            <w:lang w:val="en-GB"/>
          </w:rPr>
          <w:fldChar w:fldCharType="separate"/>
        </w:r>
        <w:r w:rsidR="00545891" w:rsidRPr="00EA2734">
          <w:rPr>
            <w:webHidden/>
            <w:lang w:val="en-GB"/>
          </w:rPr>
          <w:t>8</w:t>
        </w:r>
        <w:r w:rsidR="00545891" w:rsidRPr="00EA2734">
          <w:rPr>
            <w:webHidden/>
            <w:lang w:val="en-GB"/>
          </w:rPr>
          <w:fldChar w:fldCharType="end"/>
        </w:r>
      </w:hyperlink>
    </w:p>
    <w:p w14:paraId="2D1B7138" w14:textId="77777777" w:rsidR="00545891" w:rsidRPr="00EA2734" w:rsidRDefault="002E266A">
      <w:pPr>
        <w:pStyle w:val="Spistreci1"/>
        <w:rPr>
          <w:rFonts w:asciiTheme="minorHAnsi" w:eastAsiaTheme="minorEastAsia" w:hAnsiTheme="minorHAnsi" w:cstheme="minorBidi"/>
          <w:b w:val="0"/>
          <w:bCs w:val="0"/>
          <w:iCs w:val="0"/>
          <w:lang w:val="en-GB"/>
        </w:rPr>
      </w:pPr>
      <w:hyperlink w:anchor="_Toc465945648" w:history="1">
        <w:r w:rsidR="00545891" w:rsidRPr="00EA2734">
          <w:rPr>
            <w:rStyle w:val="Hipercze"/>
            <w:rFonts w:ascii="Arial Narrow" w:hAnsi="Arial Narrow" w:cs="Arial"/>
            <w:lang w:val="en-GB"/>
          </w:rPr>
          <w:t>6.</w:t>
        </w:r>
        <w:r w:rsidR="00545891" w:rsidRPr="00EA2734">
          <w:rPr>
            <w:rFonts w:asciiTheme="minorHAnsi" w:eastAsiaTheme="minorEastAsia" w:hAnsiTheme="minorHAnsi" w:cstheme="minorBidi"/>
            <w:b w:val="0"/>
            <w:bCs w:val="0"/>
            <w:iCs w:val="0"/>
            <w:lang w:val="en-GB"/>
          </w:rPr>
          <w:tab/>
        </w:r>
        <w:r w:rsidR="00545891" w:rsidRPr="00EA2734">
          <w:rPr>
            <w:rStyle w:val="Hipercze"/>
            <w:rFonts w:ascii="Arial Narrow" w:hAnsi="Arial Narrow" w:cs="Arial"/>
            <w:lang w:val="en-GB"/>
          </w:rPr>
          <w:t>The Management Board’s position on the viability of previously published performance forecasts.</w:t>
        </w:r>
        <w:r w:rsidR="00545891" w:rsidRPr="00EA2734">
          <w:rPr>
            <w:webHidden/>
            <w:lang w:val="en-GB"/>
          </w:rPr>
          <w:tab/>
        </w:r>
        <w:r w:rsidR="00545891" w:rsidRPr="00EA2734">
          <w:rPr>
            <w:webHidden/>
            <w:lang w:val="en-GB"/>
          </w:rPr>
          <w:fldChar w:fldCharType="begin"/>
        </w:r>
        <w:r w:rsidR="00545891" w:rsidRPr="00EA2734">
          <w:rPr>
            <w:webHidden/>
            <w:lang w:val="en-GB"/>
          </w:rPr>
          <w:instrText xml:space="preserve"> PAGEREF _Toc465945648 \h </w:instrText>
        </w:r>
        <w:r w:rsidR="00545891" w:rsidRPr="00EA2734">
          <w:rPr>
            <w:webHidden/>
            <w:lang w:val="en-GB"/>
          </w:rPr>
        </w:r>
        <w:r w:rsidR="00545891" w:rsidRPr="00EA2734">
          <w:rPr>
            <w:webHidden/>
            <w:lang w:val="en-GB"/>
          </w:rPr>
          <w:fldChar w:fldCharType="separate"/>
        </w:r>
        <w:r w:rsidR="00545891" w:rsidRPr="00EA2734">
          <w:rPr>
            <w:webHidden/>
            <w:lang w:val="en-GB"/>
          </w:rPr>
          <w:t>9</w:t>
        </w:r>
        <w:r w:rsidR="00545891" w:rsidRPr="00EA2734">
          <w:rPr>
            <w:webHidden/>
            <w:lang w:val="en-GB"/>
          </w:rPr>
          <w:fldChar w:fldCharType="end"/>
        </w:r>
      </w:hyperlink>
    </w:p>
    <w:p w14:paraId="10D34BDC" w14:textId="77777777" w:rsidR="00545891" w:rsidRPr="00EA2734" w:rsidRDefault="002E266A">
      <w:pPr>
        <w:pStyle w:val="Spistreci1"/>
        <w:rPr>
          <w:rFonts w:asciiTheme="minorHAnsi" w:eastAsiaTheme="minorEastAsia" w:hAnsiTheme="minorHAnsi" w:cstheme="minorBidi"/>
          <w:b w:val="0"/>
          <w:bCs w:val="0"/>
          <w:iCs w:val="0"/>
          <w:lang w:val="en-GB"/>
        </w:rPr>
      </w:pPr>
      <w:hyperlink w:anchor="_Toc465945649" w:history="1">
        <w:r w:rsidR="00545891" w:rsidRPr="00EA2734">
          <w:rPr>
            <w:rStyle w:val="Hipercze"/>
            <w:rFonts w:ascii="Arial Narrow" w:hAnsi="Arial Narrow" w:cs="Arial"/>
            <w:lang w:val="en-GB"/>
          </w:rPr>
          <w:t>7.</w:t>
        </w:r>
        <w:r w:rsidR="00545891" w:rsidRPr="00EA2734">
          <w:rPr>
            <w:rFonts w:asciiTheme="minorHAnsi" w:eastAsiaTheme="minorEastAsia" w:hAnsiTheme="minorHAnsi" w:cstheme="minorBidi"/>
            <w:b w:val="0"/>
            <w:bCs w:val="0"/>
            <w:iCs w:val="0"/>
            <w:lang w:val="en-GB"/>
          </w:rPr>
          <w:tab/>
        </w:r>
        <w:r w:rsidR="00545891" w:rsidRPr="00EA2734">
          <w:rPr>
            <w:rStyle w:val="Hipercze"/>
            <w:rFonts w:ascii="Arial Narrow" w:hAnsi="Arial Narrow" w:cs="Arial"/>
            <w:lang w:val="en-GB"/>
          </w:rPr>
          <w:t>Identification of shareholders holding at least 5% of the overall number of votes at the Issuer’s general meeting directly or indirectly through subsidiaries as of the semi-annual report publication date.</w:t>
        </w:r>
        <w:r w:rsidR="00545891" w:rsidRPr="00EA2734">
          <w:rPr>
            <w:webHidden/>
            <w:lang w:val="en-GB"/>
          </w:rPr>
          <w:tab/>
        </w:r>
        <w:r w:rsidR="00545891" w:rsidRPr="00EA2734">
          <w:rPr>
            <w:webHidden/>
            <w:lang w:val="en-GB"/>
          </w:rPr>
          <w:fldChar w:fldCharType="begin"/>
        </w:r>
        <w:r w:rsidR="00545891" w:rsidRPr="00EA2734">
          <w:rPr>
            <w:webHidden/>
            <w:lang w:val="en-GB"/>
          </w:rPr>
          <w:instrText xml:space="preserve"> PAGEREF _Toc465945649 \h </w:instrText>
        </w:r>
        <w:r w:rsidR="00545891" w:rsidRPr="00EA2734">
          <w:rPr>
            <w:webHidden/>
            <w:lang w:val="en-GB"/>
          </w:rPr>
        </w:r>
        <w:r w:rsidR="00545891" w:rsidRPr="00EA2734">
          <w:rPr>
            <w:webHidden/>
            <w:lang w:val="en-GB"/>
          </w:rPr>
          <w:fldChar w:fldCharType="separate"/>
        </w:r>
        <w:r w:rsidR="00545891" w:rsidRPr="00EA2734">
          <w:rPr>
            <w:webHidden/>
            <w:lang w:val="en-GB"/>
          </w:rPr>
          <w:t>9</w:t>
        </w:r>
        <w:r w:rsidR="00545891" w:rsidRPr="00EA2734">
          <w:rPr>
            <w:webHidden/>
            <w:lang w:val="en-GB"/>
          </w:rPr>
          <w:fldChar w:fldCharType="end"/>
        </w:r>
      </w:hyperlink>
    </w:p>
    <w:p w14:paraId="1511FA96" w14:textId="77777777" w:rsidR="00545891" w:rsidRPr="00EA2734" w:rsidRDefault="002E266A">
      <w:pPr>
        <w:pStyle w:val="Spistreci1"/>
        <w:rPr>
          <w:rFonts w:asciiTheme="minorHAnsi" w:eastAsiaTheme="minorEastAsia" w:hAnsiTheme="minorHAnsi" w:cstheme="minorBidi"/>
          <w:b w:val="0"/>
          <w:bCs w:val="0"/>
          <w:iCs w:val="0"/>
          <w:lang w:val="en-GB"/>
        </w:rPr>
      </w:pPr>
      <w:hyperlink w:anchor="_Toc465945650" w:history="1">
        <w:r w:rsidR="00545891" w:rsidRPr="00EA2734">
          <w:rPr>
            <w:rStyle w:val="Hipercze"/>
            <w:rFonts w:ascii="Arial Narrow" w:hAnsi="Arial Narrow" w:cs="Arial"/>
            <w:lang w:val="en-GB"/>
          </w:rPr>
          <w:t>8.</w:t>
        </w:r>
        <w:r w:rsidR="00545891" w:rsidRPr="00EA2734">
          <w:rPr>
            <w:rFonts w:asciiTheme="minorHAnsi" w:eastAsiaTheme="minorEastAsia" w:hAnsiTheme="minorHAnsi" w:cstheme="minorBidi"/>
            <w:b w:val="0"/>
            <w:bCs w:val="0"/>
            <w:iCs w:val="0"/>
            <w:lang w:val="en-GB"/>
          </w:rPr>
          <w:tab/>
        </w:r>
        <w:r w:rsidR="00545891" w:rsidRPr="00EA2734">
          <w:rPr>
            <w:rStyle w:val="Hipercze"/>
            <w:rFonts w:ascii="Arial Narrow" w:hAnsi="Arial Narrow" w:cs="Arial"/>
            <w:lang w:val="en-GB"/>
          </w:rPr>
          <w:t>Listing of holding or titles to the Issuer’s shares by the Issuer’s executive and non-executive officers as of the publication date of the semi-annual report, including changes in shareholding, since the publication of the previous report, separately for each individual.</w:t>
        </w:r>
        <w:r w:rsidR="00545891" w:rsidRPr="00EA2734">
          <w:rPr>
            <w:webHidden/>
            <w:lang w:val="en-GB"/>
          </w:rPr>
          <w:tab/>
        </w:r>
        <w:r w:rsidR="00545891" w:rsidRPr="00EA2734">
          <w:rPr>
            <w:webHidden/>
            <w:lang w:val="en-GB"/>
          </w:rPr>
          <w:fldChar w:fldCharType="begin"/>
        </w:r>
        <w:r w:rsidR="00545891" w:rsidRPr="00EA2734">
          <w:rPr>
            <w:webHidden/>
            <w:lang w:val="en-GB"/>
          </w:rPr>
          <w:instrText xml:space="preserve"> PAGEREF _Toc465945650 \h </w:instrText>
        </w:r>
        <w:r w:rsidR="00545891" w:rsidRPr="00EA2734">
          <w:rPr>
            <w:webHidden/>
            <w:lang w:val="en-GB"/>
          </w:rPr>
        </w:r>
        <w:r w:rsidR="00545891" w:rsidRPr="00EA2734">
          <w:rPr>
            <w:webHidden/>
            <w:lang w:val="en-GB"/>
          </w:rPr>
          <w:fldChar w:fldCharType="separate"/>
        </w:r>
        <w:r w:rsidR="00545891" w:rsidRPr="00EA2734">
          <w:rPr>
            <w:webHidden/>
            <w:lang w:val="en-GB"/>
          </w:rPr>
          <w:t>9</w:t>
        </w:r>
        <w:r w:rsidR="00545891" w:rsidRPr="00EA2734">
          <w:rPr>
            <w:webHidden/>
            <w:lang w:val="en-GB"/>
          </w:rPr>
          <w:fldChar w:fldCharType="end"/>
        </w:r>
      </w:hyperlink>
    </w:p>
    <w:p w14:paraId="6DC700CA" w14:textId="77777777" w:rsidR="00545891" w:rsidRPr="00EA2734" w:rsidRDefault="002E266A">
      <w:pPr>
        <w:pStyle w:val="Spistreci1"/>
        <w:rPr>
          <w:rFonts w:asciiTheme="minorHAnsi" w:eastAsiaTheme="minorEastAsia" w:hAnsiTheme="minorHAnsi" w:cstheme="minorBidi"/>
          <w:b w:val="0"/>
          <w:bCs w:val="0"/>
          <w:iCs w:val="0"/>
          <w:lang w:val="en-GB"/>
        </w:rPr>
      </w:pPr>
      <w:hyperlink w:anchor="_Toc465945651" w:history="1">
        <w:r w:rsidR="00545891" w:rsidRPr="00EA2734">
          <w:rPr>
            <w:rStyle w:val="Hipercze"/>
            <w:rFonts w:ascii="Arial Narrow" w:hAnsi="Arial Narrow" w:cs="Arial"/>
            <w:lang w:val="en-GB"/>
          </w:rPr>
          <w:t>9.</w:t>
        </w:r>
        <w:r w:rsidR="00545891" w:rsidRPr="00EA2734">
          <w:rPr>
            <w:rFonts w:asciiTheme="minorHAnsi" w:eastAsiaTheme="minorEastAsia" w:hAnsiTheme="minorHAnsi" w:cstheme="minorBidi"/>
            <w:b w:val="0"/>
            <w:bCs w:val="0"/>
            <w:iCs w:val="0"/>
            <w:lang w:val="en-GB"/>
          </w:rPr>
          <w:tab/>
        </w:r>
        <w:r w:rsidR="00545891" w:rsidRPr="00EA2734">
          <w:rPr>
            <w:rStyle w:val="Hipercze"/>
            <w:rFonts w:ascii="Arial Narrow" w:hAnsi="Arial Narrow" w:cs="Arial"/>
            <w:lang w:val="en-GB"/>
          </w:rPr>
          <w:t>Information on loan sureties or securities granted by the Issuer – to one entity or its subsidiary, if the total amount of existing sureties or guarantees is equivalent to at least 10% of the Issuer’s equity</w:t>
        </w:r>
        <w:r w:rsidR="00545891" w:rsidRPr="00EA2734">
          <w:rPr>
            <w:webHidden/>
            <w:lang w:val="en-GB"/>
          </w:rPr>
          <w:tab/>
        </w:r>
        <w:r w:rsidR="00545891" w:rsidRPr="00EA2734">
          <w:rPr>
            <w:webHidden/>
            <w:lang w:val="en-GB"/>
          </w:rPr>
          <w:fldChar w:fldCharType="begin"/>
        </w:r>
        <w:r w:rsidR="00545891" w:rsidRPr="00EA2734">
          <w:rPr>
            <w:webHidden/>
            <w:lang w:val="en-GB"/>
          </w:rPr>
          <w:instrText xml:space="preserve"> PAGEREF _Toc465945651 \h </w:instrText>
        </w:r>
        <w:r w:rsidR="00545891" w:rsidRPr="00EA2734">
          <w:rPr>
            <w:webHidden/>
            <w:lang w:val="en-GB"/>
          </w:rPr>
        </w:r>
        <w:r w:rsidR="00545891" w:rsidRPr="00EA2734">
          <w:rPr>
            <w:webHidden/>
            <w:lang w:val="en-GB"/>
          </w:rPr>
          <w:fldChar w:fldCharType="separate"/>
        </w:r>
        <w:r w:rsidR="00545891" w:rsidRPr="00EA2734">
          <w:rPr>
            <w:webHidden/>
            <w:lang w:val="en-GB"/>
          </w:rPr>
          <w:t>10</w:t>
        </w:r>
        <w:r w:rsidR="00545891" w:rsidRPr="00EA2734">
          <w:rPr>
            <w:webHidden/>
            <w:lang w:val="en-GB"/>
          </w:rPr>
          <w:fldChar w:fldCharType="end"/>
        </w:r>
      </w:hyperlink>
    </w:p>
    <w:p w14:paraId="06763D59" w14:textId="77777777" w:rsidR="00545891" w:rsidRPr="00EA2734" w:rsidRDefault="002E266A">
      <w:pPr>
        <w:pStyle w:val="Spistreci1"/>
        <w:rPr>
          <w:rFonts w:asciiTheme="minorHAnsi" w:eastAsiaTheme="minorEastAsia" w:hAnsiTheme="minorHAnsi" w:cstheme="minorBidi"/>
          <w:b w:val="0"/>
          <w:bCs w:val="0"/>
          <w:iCs w:val="0"/>
          <w:lang w:val="en-GB"/>
        </w:rPr>
      </w:pPr>
      <w:hyperlink w:anchor="_Toc465945652" w:history="1">
        <w:r w:rsidR="00545891" w:rsidRPr="00EA2734">
          <w:rPr>
            <w:rStyle w:val="Hipercze"/>
            <w:rFonts w:ascii="Arial Narrow" w:hAnsi="Arial Narrow" w:cs="Arial"/>
            <w:lang w:val="en-GB"/>
          </w:rPr>
          <w:t>10.</w:t>
        </w:r>
        <w:r w:rsidR="00545891" w:rsidRPr="00EA2734">
          <w:rPr>
            <w:rFonts w:asciiTheme="minorHAnsi" w:eastAsiaTheme="minorEastAsia" w:hAnsiTheme="minorHAnsi" w:cstheme="minorBidi"/>
            <w:b w:val="0"/>
            <w:bCs w:val="0"/>
            <w:iCs w:val="0"/>
            <w:lang w:val="en-GB"/>
          </w:rPr>
          <w:tab/>
        </w:r>
        <w:r w:rsidR="00545891" w:rsidRPr="00EA2734">
          <w:rPr>
            <w:rStyle w:val="Hipercze"/>
            <w:rFonts w:ascii="Arial Narrow" w:hAnsi="Arial Narrow" w:cs="Arial"/>
            <w:lang w:val="en-GB"/>
          </w:rPr>
          <w:t>Information which is important in the assessment of the Issuer’s situation in terms of staff, assets, finance, financial performance and their changes, as well as information which is important in assessing the ability to meet liabilities.</w:t>
        </w:r>
        <w:r w:rsidR="00545891" w:rsidRPr="00EA2734">
          <w:rPr>
            <w:webHidden/>
            <w:lang w:val="en-GB"/>
          </w:rPr>
          <w:tab/>
        </w:r>
        <w:r w:rsidR="00545891" w:rsidRPr="00EA2734">
          <w:rPr>
            <w:webHidden/>
            <w:lang w:val="en-GB"/>
          </w:rPr>
          <w:fldChar w:fldCharType="begin"/>
        </w:r>
        <w:r w:rsidR="00545891" w:rsidRPr="00EA2734">
          <w:rPr>
            <w:webHidden/>
            <w:lang w:val="en-GB"/>
          </w:rPr>
          <w:instrText xml:space="preserve"> PAGEREF _Toc465945652 \h </w:instrText>
        </w:r>
        <w:r w:rsidR="00545891" w:rsidRPr="00EA2734">
          <w:rPr>
            <w:webHidden/>
            <w:lang w:val="en-GB"/>
          </w:rPr>
        </w:r>
        <w:r w:rsidR="00545891" w:rsidRPr="00EA2734">
          <w:rPr>
            <w:webHidden/>
            <w:lang w:val="en-GB"/>
          </w:rPr>
          <w:fldChar w:fldCharType="separate"/>
        </w:r>
        <w:r w:rsidR="00545891" w:rsidRPr="00EA2734">
          <w:rPr>
            <w:webHidden/>
            <w:lang w:val="en-GB"/>
          </w:rPr>
          <w:t>11</w:t>
        </w:r>
        <w:r w:rsidR="00545891" w:rsidRPr="00EA2734">
          <w:rPr>
            <w:webHidden/>
            <w:lang w:val="en-GB"/>
          </w:rPr>
          <w:fldChar w:fldCharType="end"/>
        </w:r>
      </w:hyperlink>
    </w:p>
    <w:p w14:paraId="011C2B78" w14:textId="77777777" w:rsidR="00545891" w:rsidRPr="00EA2734" w:rsidRDefault="002E266A">
      <w:pPr>
        <w:pStyle w:val="Spistreci1"/>
        <w:rPr>
          <w:rFonts w:asciiTheme="minorHAnsi" w:eastAsiaTheme="minorEastAsia" w:hAnsiTheme="minorHAnsi" w:cstheme="minorBidi"/>
          <w:b w:val="0"/>
          <w:bCs w:val="0"/>
          <w:iCs w:val="0"/>
          <w:lang w:val="en-GB"/>
        </w:rPr>
      </w:pPr>
      <w:hyperlink w:anchor="_Toc465945653" w:history="1">
        <w:r w:rsidR="00545891" w:rsidRPr="00EA2734">
          <w:rPr>
            <w:rStyle w:val="Hipercze"/>
            <w:rFonts w:ascii="Arial Narrow" w:hAnsi="Arial Narrow" w:cs="Arial"/>
            <w:lang w:val="en-GB"/>
          </w:rPr>
          <w:t>11.</w:t>
        </w:r>
        <w:r w:rsidR="00545891" w:rsidRPr="00EA2734">
          <w:rPr>
            <w:rFonts w:asciiTheme="minorHAnsi" w:eastAsiaTheme="minorEastAsia" w:hAnsiTheme="minorHAnsi" w:cstheme="minorBidi"/>
            <w:b w:val="0"/>
            <w:bCs w:val="0"/>
            <w:iCs w:val="0"/>
            <w:lang w:val="en-GB"/>
          </w:rPr>
          <w:tab/>
        </w:r>
        <w:r w:rsidR="00545891" w:rsidRPr="00EA2734">
          <w:rPr>
            <w:rStyle w:val="Hipercze"/>
            <w:rFonts w:ascii="Arial Narrow" w:hAnsi="Arial Narrow" w:cs="Arial"/>
            <w:lang w:val="en-GB"/>
          </w:rPr>
          <w:t>Identification of factors which, in the Issuer’s opinion, will affect its performance within a time span of at least the coming six months.</w:t>
        </w:r>
        <w:r w:rsidR="00545891" w:rsidRPr="00EA2734">
          <w:rPr>
            <w:webHidden/>
            <w:lang w:val="en-GB"/>
          </w:rPr>
          <w:tab/>
        </w:r>
        <w:r w:rsidR="00545891" w:rsidRPr="00EA2734">
          <w:rPr>
            <w:webHidden/>
            <w:lang w:val="en-GB"/>
          </w:rPr>
          <w:fldChar w:fldCharType="begin"/>
        </w:r>
        <w:r w:rsidR="00545891" w:rsidRPr="00EA2734">
          <w:rPr>
            <w:webHidden/>
            <w:lang w:val="en-GB"/>
          </w:rPr>
          <w:instrText xml:space="preserve"> PAGEREF _Toc465945653 \h </w:instrText>
        </w:r>
        <w:r w:rsidR="00545891" w:rsidRPr="00EA2734">
          <w:rPr>
            <w:webHidden/>
            <w:lang w:val="en-GB"/>
          </w:rPr>
        </w:r>
        <w:r w:rsidR="00545891" w:rsidRPr="00EA2734">
          <w:rPr>
            <w:webHidden/>
            <w:lang w:val="en-GB"/>
          </w:rPr>
          <w:fldChar w:fldCharType="separate"/>
        </w:r>
        <w:r w:rsidR="00545891" w:rsidRPr="00EA2734">
          <w:rPr>
            <w:webHidden/>
            <w:lang w:val="en-GB"/>
          </w:rPr>
          <w:t>11</w:t>
        </w:r>
        <w:r w:rsidR="00545891" w:rsidRPr="00EA2734">
          <w:rPr>
            <w:webHidden/>
            <w:lang w:val="en-GB"/>
          </w:rPr>
          <w:fldChar w:fldCharType="end"/>
        </w:r>
      </w:hyperlink>
    </w:p>
    <w:p w14:paraId="30BC4D8C" w14:textId="675130F6" w:rsidR="00545891" w:rsidRPr="00EA2734" w:rsidRDefault="00545891">
      <w:pPr>
        <w:pStyle w:val="Spistreci1"/>
        <w:rPr>
          <w:rFonts w:asciiTheme="minorHAnsi" w:eastAsiaTheme="minorEastAsia" w:hAnsiTheme="minorHAnsi" w:cstheme="minorBidi"/>
          <w:b w:val="0"/>
          <w:bCs w:val="0"/>
          <w:iCs w:val="0"/>
          <w:lang w:val="en-GB"/>
        </w:rPr>
      </w:pPr>
    </w:p>
    <w:p w14:paraId="6100243E" w14:textId="77777777" w:rsidR="00A80575" w:rsidRPr="00EA2734" w:rsidRDefault="006C6487" w:rsidP="00B54B25">
      <w:pPr>
        <w:pStyle w:val="MsrParagraph"/>
        <w:spacing w:line="240" w:lineRule="auto"/>
        <w:ind w:firstLine="0"/>
        <w:jc w:val="center"/>
        <w:rPr>
          <w:rFonts w:ascii="Arial" w:hAnsi="Arial" w:cs="Arial"/>
          <w:noProof/>
          <w:sz w:val="20"/>
          <w:szCs w:val="20"/>
          <w:lang w:val="en-GB"/>
        </w:rPr>
      </w:pPr>
      <w:r w:rsidRPr="00EA2734">
        <w:rPr>
          <w:rFonts w:ascii="Calibri" w:eastAsia="Times New Roman" w:hAnsi="Calibri" w:cs="Calibri"/>
          <w:bCs/>
          <w:iCs/>
          <w:sz w:val="20"/>
          <w:szCs w:val="22"/>
          <w:lang w:val="en-GB"/>
        </w:rPr>
        <w:fldChar w:fldCharType="end"/>
      </w:r>
    </w:p>
    <w:p w14:paraId="5D7B59B4" w14:textId="77777777" w:rsidR="00240C17" w:rsidRPr="00EA2734" w:rsidRDefault="00240C17" w:rsidP="00FC23ED">
      <w:pPr>
        <w:rPr>
          <w:rFonts w:ascii="Arial" w:hAnsi="Arial" w:cs="Arial"/>
          <w:sz w:val="20"/>
          <w:szCs w:val="20"/>
          <w:lang w:val="en-GB"/>
        </w:rPr>
      </w:pPr>
    </w:p>
    <w:p w14:paraId="602D3FE8" w14:textId="77777777" w:rsidR="00D82BF4" w:rsidRPr="00EA2734" w:rsidRDefault="00D82BF4" w:rsidP="00B54B25">
      <w:pPr>
        <w:pStyle w:val="MsrSection2"/>
        <w:tabs>
          <w:tab w:val="num" w:pos="574"/>
        </w:tabs>
        <w:ind w:left="574" w:hanging="432"/>
        <w:rPr>
          <w:i w:val="0"/>
          <w:sz w:val="20"/>
          <w:szCs w:val="20"/>
          <w:lang w:val="en-GB"/>
        </w:rPr>
      </w:pPr>
    </w:p>
    <w:p w14:paraId="42F9883D" w14:textId="5842B1EA" w:rsidR="00D613AE" w:rsidRPr="00EA2734" w:rsidRDefault="00B54B25" w:rsidP="00E72D3A">
      <w:pPr>
        <w:pStyle w:val="MsrSection2"/>
        <w:numPr>
          <w:ilvl w:val="0"/>
          <w:numId w:val="8"/>
        </w:numPr>
        <w:spacing w:before="0" w:after="120" w:line="276" w:lineRule="auto"/>
        <w:ind w:left="502" w:hanging="502"/>
        <w:outlineLvl w:val="0"/>
        <w:rPr>
          <w:rFonts w:ascii="Arial Narrow" w:hAnsi="Arial Narrow" w:cs="Arial"/>
          <w:b w:val="0"/>
          <w:i w:val="0"/>
          <w:color w:val="002060"/>
          <w:sz w:val="28"/>
          <w:szCs w:val="22"/>
          <w:lang w:val="en-GB" w:eastAsia="pl-PL"/>
        </w:rPr>
      </w:pPr>
      <w:bookmarkStart w:id="128" w:name="_Toc270698115"/>
      <w:bookmarkStart w:id="129" w:name="_Toc236720536"/>
      <w:r w:rsidRPr="00EA2734">
        <w:rPr>
          <w:i w:val="0"/>
          <w:sz w:val="20"/>
          <w:szCs w:val="20"/>
          <w:lang w:val="en-GB"/>
        </w:rPr>
        <w:br w:type="page"/>
      </w:r>
      <w:bookmarkStart w:id="130" w:name="_Toc465945643"/>
      <w:r w:rsidR="00827E41" w:rsidRPr="00EA2734">
        <w:rPr>
          <w:rFonts w:ascii="Arial Narrow" w:hAnsi="Arial Narrow" w:cs="Arial"/>
          <w:b w:val="0"/>
          <w:i w:val="0"/>
          <w:color w:val="002060"/>
          <w:sz w:val="28"/>
          <w:szCs w:val="22"/>
          <w:lang w:val="en-GB" w:eastAsia="pl-PL"/>
        </w:rPr>
        <w:lastRenderedPageBreak/>
        <w:t>Basic information about the Issuer’s organisation and operations, as well as the principles for drawing up the semi-annual condensed financial statement.</w:t>
      </w:r>
      <w:bookmarkEnd w:id="130"/>
    </w:p>
    <w:p w14:paraId="79EC67A5" w14:textId="77777777" w:rsidR="00D613AE" w:rsidRPr="00EA2734" w:rsidRDefault="00D613AE" w:rsidP="00D613AE">
      <w:pPr>
        <w:pStyle w:val="Zwykytekst"/>
        <w:rPr>
          <w:lang w:val="en-GB"/>
        </w:rPr>
      </w:pPr>
    </w:p>
    <w:p w14:paraId="7D511CD3" w14:textId="5E956468" w:rsidR="008C6BA0" w:rsidRPr="00EA2734" w:rsidRDefault="00827E41" w:rsidP="002A6C67">
      <w:pPr>
        <w:jc w:val="both"/>
        <w:rPr>
          <w:rFonts w:ascii="Arial Narrow" w:hAnsi="Arial Narrow" w:cs="Arial"/>
          <w:sz w:val="20"/>
          <w:szCs w:val="22"/>
          <w:lang w:val="en-GB"/>
        </w:rPr>
      </w:pPr>
      <w:r w:rsidRPr="00EA2734">
        <w:rPr>
          <w:rFonts w:ascii="Arial Narrow" w:hAnsi="Arial Narrow" w:cs="Arial"/>
          <w:sz w:val="20"/>
          <w:szCs w:val="22"/>
          <w:lang w:val="en-GB"/>
        </w:rPr>
        <w:t>Issuer</w:t>
      </w:r>
      <w:r w:rsidR="008C6BA0" w:rsidRPr="00EA2734">
        <w:rPr>
          <w:rFonts w:ascii="Arial Narrow" w:hAnsi="Arial Narrow" w:cs="Arial"/>
          <w:sz w:val="20"/>
          <w:szCs w:val="22"/>
          <w:lang w:val="en-GB"/>
        </w:rPr>
        <w:t xml:space="preserve">: </w:t>
      </w:r>
      <w:proofErr w:type="spellStart"/>
      <w:r w:rsidR="008C6BA0" w:rsidRPr="00EA2734">
        <w:rPr>
          <w:rFonts w:ascii="Arial Narrow" w:hAnsi="Arial Narrow" w:cs="Arial"/>
          <w:b/>
          <w:sz w:val="20"/>
          <w:szCs w:val="22"/>
          <w:lang w:val="en-GB"/>
        </w:rPr>
        <w:t>OPTeam</w:t>
      </w:r>
      <w:proofErr w:type="spellEnd"/>
      <w:r w:rsidR="008C6BA0" w:rsidRPr="00EA2734">
        <w:rPr>
          <w:rFonts w:ascii="Arial Narrow" w:hAnsi="Arial Narrow" w:cs="Arial"/>
          <w:b/>
          <w:sz w:val="20"/>
          <w:szCs w:val="22"/>
          <w:lang w:val="en-GB"/>
        </w:rPr>
        <w:t xml:space="preserve"> S.A.</w:t>
      </w:r>
      <w:r w:rsidR="008C6BA0" w:rsidRPr="00EA2734">
        <w:rPr>
          <w:rFonts w:ascii="Arial Narrow" w:hAnsi="Arial Narrow" w:cs="Arial"/>
          <w:sz w:val="20"/>
          <w:szCs w:val="22"/>
          <w:lang w:val="en-GB"/>
        </w:rPr>
        <w:tab/>
      </w:r>
      <w:r w:rsidR="008C6BA0" w:rsidRPr="00EA2734">
        <w:rPr>
          <w:rFonts w:ascii="Arial Narrow" w:hAnsi="Arial Narrow" w:cs="Arial"/>
          <w:sz w:val="20"/>
          <w:szCs w:val="22"/>
          <w:lang w:val="en-GB"/>
        </w:rPr>
        <w:tab/>
      </w:r>
      <w:r w:rsidR="008C6BA0" w:rsidRPr="00EA2734">
        <w:rPr>
          <w:rFonts w:ascii="Arial Narrow" w:hAnsi="Arial Narrow" w:cs="Arial"/>
          <w:sz w:val="20"/>
          <w:szCs w:val="22"/>
          <w:lang w:val="en-GB"/>
        </w:rPr>
        <w:tab/>
      </w:r>
      <w:r w:rsidR="008C6BA0" w:rsidRPr="00EA2734">
        <w:rPr>
          <w:rFonts w:ascii="Arial Narrow" w:hAnsi="Arial Narrow" w:cs="Arial"/>
          <w:sz w:val="20"/>
          <w:szCs w:val="22"/>
          <w:lang w:val="en-GB"/>
        </w:rPr>
        <w:tab/>
      </w:r>
      <w:r w:rsidR="008C6BA0" w:rsidRPr="00EA2734">
        <w:rPr>
          <w:rFonts w:ascii="Arial Narrow" w:hAnsi="Arial Narrow" w:cs="Arial"/>
          <w:sz w:val="20"/>
          <w:szCs w:val="22"/>
          <w:lang w:val="en-GB"/>
        </w:rPr>
        <w:tab/>
      </w:r>
    </w:p>
    <w:p w14:paraId="2BCBBC78" w14:textId="57041D14" w:rsidR="008C6BA0" w:rsidRPr="00EA2734" w:rsidRDefault="00827E41" w:rsidP="002A6C67">
      <w:pPr>
        <w:jc w:val="both"/>
        <w:rPr>
          <w:rFonts w:ascii="Arial Narrow" w:hAnsi="Arial Narrow" w:cs="Arial"/>
          <w:sz w:val="20"/>
          <w:szCs w:val="22"/>
          <w:lang w:val="en-GB"/>
        </w:rPr>
      </w:pPr>
      <w:r w:rsidRPr="00EA2734">
        <w:rPr>
          <w:rFonts w:ascii="Arial Narrow" w:hAnsi="Arial Narrow" w:cs="Arial"/>
          <w:sz w:val="20"/>
          <w:szCs w:val="22"/>
          <w:lang w:val="en-GB"/>
        </w:rPr>
        <w:t>Seat</w:t>
      </w:r>
      <w:r w:rsidR="008C6BA0" w:rsidRPr="00EA2734">
        <w:rPr>
          <w:rFonts w:ascii="Arial Narrow" w:hAnsi="Arial Narrow" w:cs="Arial"/>
          <w:sz w:val="20"/>
          <w:szCs w:val="22"/>
          <w:lang w:val="en-GB"/>
        </w:rPr>
        <w:t xml:space="preserve">: 36-002 </w:t>
      </w:r>
      <w:proofErr w:type="spellStart"/>
      <w:r w:rsidR="008C6BA0" w:rsidRPr="00EA2734">
        <w:rPr>
          <w:rFonts w:ascii="Arial Narrow" w:hAnsi="Arial Narrow" w:cs="Arial"/>
          <w:sz w:val="20"/>
          <w:szCs w:val="22"/>
          <w:lang w:val="en-GB"/>
        </w:rPr>
        <w:t>Tajęcina</w:t>
      </w:r>
      <w:proofErr w:type="spellEnd"/>
      <w:r w:rsidR="008C6BA0" w:rsidRPr="00EA2734">
        <w:rPr>
          <w:rFonts w:ascii="Arial Narrow" w:hAnsi="Arial Narrow" w:cs="Arial"/>
          <w:sz w:val="20"/>
          <w:szCs w:val="22"/>
          <w:lang w:val="en-GB"/>
        </w:rPr>
        <w:t xml:space="preserve"> 113</w:t>
      </w:r>
      <w:r w:rsidR="008C6BA0" w:rsidRPr="00EA2734">
        <w:rPr>
          <w:rFonts w:ascii="Arial Narrow" w:hAnsi="Arial Narrow" w:cs="Arial"/>
          <w:sz w:val="20"/>
          <w:szCs w:val="22"/>
          <w:lang w:val="en-GB"/>
        </w:rPr>
        <w:tab/>
      </w:r>
    </w:p>
    <w:p w14:paraId="420A1E23" w14:textId="4BB1B4B1" w:rsidR="008C6BA0" w:rsidRPr="00EA2734" w:rsidRDefault="00827E41" w:rsidP="002A6C67">
      <w:pPr>
        <w:jc w:val="both"/>
        <w:rPr>
          <w:rFonts w:ascii="Arial Narrow" w:hAnsi="Arial Narrow" w:cs="Arial"/>
          <w:sz w:val="20"/>
          <w:szCs w:val="22"/>
          <w:lang w:val="en-GB"/>
        </w:rPr>
      </w:pPr>
      <w:r w:rsidRPr="00EA2734">
        <w:rPr>
          <w:rFonts w:ascii="Arial Narrow" w:hAnsi="Arial Narrow" w:cs="Arial"/>
          <w:sz w:val="20"/>
          <w:szCs w:val="22"/>
          <w:lang w:val="en-GB"/>
        </w:rPr>
        <w:t>Telephone no.</w:t>
      </w:r>
      <w:r w:rsidR="008C6BA0" w:rsidRPr="00EA2734">
        <w:rPr>
          <w:rFonts w:ascii="Arial Narrow" w:hAnsi="Arial Narrow" w:cs="Arial"/>
          <w:sz w:val="20"/>
          <w:szCs w:val="22"/>
          <w:lang w:val="en-GB"/>
        </w:rPr>
        <w:t>: +48 (017) 867-21-00</w:t>
      </w:r>
    </w:p>
    <w:p w14:paraId="1932F6B0" w14:textId="2B29E053" w:rsidR="008C6BA0" w:rsidRPr="00EA2734" w:rsidRDefault="00827E41" w:rsidP="002A6C67">
      <w:pPr>
        <w:jc w:val="both"/>
        <w:rPr>
          <w:rFonts w:ascii="Arial Narrow" w:hAnsi="Arial Narrow" w:cs="Arial"/>
          <w:sz w:val="20"/>
          <w:szCs w:val="22"/>
          <w:lang w:val="en-GB"/>
        </w:rPr>
      </w:pPr>
      <w:r w:rsidRPr="00EA2734">
        <w:rPr>
          <w:rFonts w:ascii="Arial Narrow" w:hAnsi="Arial Narrow" w:cs="Arial"/>
          <w:sz w:val="20"/>
          <w:szCs w:val="22"/>
          <w:lang w:val="en-GB"/>
        </w:rPr>
        <w:t>Fax no.</w:t>
      </w:r>
      <w:r w:rsidR="008C6BA0" w:rsidRPr="00EA2734">
        <w:rPr>
          <w:rFonts w:ascii="Arial Narrow" w:hAnsi="Arial Narrow" w:cs="Arial"/>
          <w:sz w:val="20"/>
          <w:szCs w:val="22"/>
          <w:lang w:val="en-GB"/>
        </w:rPr>
        <w:t>: +48 (017) 852-01-38</w:t>
      </w:r>
      <w:r w:rsidR="008C6BA0" w:rsidRPr="00EA2734">
        <w:rPr>
          <w:rFonts w:ascii="Arial Narrow" w:hAnsi="Arial Narrow" w:cs="Arial"/>
          <w:sz w:val="20"/>
          <w:szCs w:val="22"/>
          <w:lang w:val="en-GB"/>
        </w:rPr>
        <w:tab/>
      </w:r>
      <w:r w:rsidR="008C6BA0" w:rsidRPr="00EA2734">
        <w:rPr>
          <w:rFonts w:ascii="Arial Narrow" w:hAnsi="Arial Narrow" w:cs="Arial"/>
          <w:sz w:val="20"/>
          <w:szCs w:val="22"/>
          <w:lang w:val="en-GB"/>
        </w:rPr>
        <w:tab/>
      </w:r>
      <w:r w:rsidR="008C6BA0" w:rsidRPr="00EA2734">
        <w:rPr>
          <w:rFonts w:ascii="Arial Narrow" w:hAnsi="Arial Narrow" w:cs="Arial"/>
          <w:sz w:val="20"/>
          <w:szCs w:val="22"/>
          <w:lang w:val="en-GB"/>
        </w:rPr>
        <w:tab/>
      </w:r>
    </w:p>
    <w:p w14:paraId="532E8CD6" w14:textId="1F0F6E43" w:rsidR="008C6BA0" w:rsidRPr="00EA2734" w:rsidRDefault="008C6BA0" w:rsidP="002A6C67">
      <w:pPr>
        <w:jc w:val="both"/>
        <w:rPr>
          <w:rFonts w:ascii="Arial Narrow" w:hAnsi="Arial Narrow" w:cs="Arial"/>
          <w:sz w:val="20"/>
          <w:szCs w:val="22"/>
          <w:lang w:val="en-GB"/>
        </w:rPr>
      </w:pPr>
      <w:r w:rsidRPr="00EA2734">
        <w:rPr>
          <w:rFonts w:ascii="Arial Narrow" w:hAnsi="Arial Narrow" w:cs="Arial"/>
          <w:sz w:val="20"/>
          <w:szCs w:val="22"/>
          <w:lang w:val="en-GB"/>
        </w:rPr>
        <w:t>KRS</w:t>
      </w:r>
      <w:r w:rsidR="00827E41" w:rsidRPr="00EA2734">
        <w:rPr>
          <w:rFonts w:ascii="Arial Narrow" w:hAnsi="Arial Narrow" w:cs="Arial"/>
          <w:sz w:val="20"/>
          <w:szCs w:val="22"/>
          <w:lang w:val="en-GB"/>
        </w:rPr>
        <w:t xml:space="preserve"> number</w:t>
      </w:r>
      <w:r w:rsidRPr="00EA2734">
        <w:rPr>
          <w:rFonts w:ascii="Arial Narrow" w:hAnsi="Arial Narrow" w:cs="Arial"/>
          <w:sz w:val="20"/>
          <w:szCs w:val="22"/>
          <w:lang w:val="en-GB"/>
        </w:rPr>
        <w:t>:</w:t>
      </w:r>
      <w:r w:rsidRPr="00EA2734">
        <w:rPr>
          <w:rFonts w:ascii="Arial Narrow" w:hAnsi="Arial Narrow" w:cs="Arial"/>
          <w:sz w:val="20"/>
          <w:szCs w:val="22"/>
          <w:lang w:val="en-GB"/>
        </w:rPr>
        <w:tab/>
        <w:t>0000160492</w:t>
      </w:r>
      <w:r w:rsidRPr="00EA2734">
        <w:rPr>
          <w:rFonts w:ascii="Arial Narrow" w:hAnsi="Arial Narrow" w:cs="Arial"/>
          <w:sz w:val="20"/>
          <w:szCs w:val="22"/>
          <w:lang w:val="en-GB"/>
        </w:rPr>
        <w:tab/>
      </w:r>
      <w:r w:rsidRPr="00EA2734">
        <w:rPr>
          <w:rFonts w:ascii="Arial Narrow" w:hAnsi="Arial Narrow" w:cs="Arial"/>
          <w:sz w:val="20"/>
          <w:szCs w:val="22"/>
          <w:lang w:val="en-GB"/>
        </w:rPr>
        <w:tab/>
      </w:r>
      <w:r w:rsidRPr="00EA2734">
        <w:rPr>
          <w:rFonts w:ascii="Arial Narrow" w:hAnsi="Arial Narrow" w:cs="Arial"/>
          <w:sz w:val="20"/>
          <w:szCs w:val="22"/>
          <w:lang w:val="en-GB"/>
        </w:rPr>
        <w:tab/>
      </w:r>
      <w:r w:rsidRPr="00EA2734">
        <w:rPr>
          <w:rFonts w:ascii="Arial Narrow" w:hAnsi="Arial Narrow" w:cs="Arial"/>
          <w:sz w:val="20"/>
          <w:szCs w:val="22"/>
          <w:lang w:val="en-GB"/>
        </w:rPr>
        <w:tab/>
      </w:r>
      <w:r w:rsidRPr="00EA2734">
        <w:rPr>
          <w:rFonts w:ascii="Arial Narrow" w:hAnsi="Arial Narrow" w:cs="Arial"/>
          <w:sz w:val="20"/>
          <w:szCs w:val="22"/>
          <w:lang w:val="en-GB"/>
        </w:rPr>
        <w:tab/>
      </w:r>
    </w:p>
    <w:p w14:paraId="3BDDD1D9" w14:textId="77777777" w:rsidR="008C6BA0" w:rsidRPr="00EA2734" w:rsidRDefault="008C6BA0" w:rsidP="002A6C67">
      <w:pPr>
        <w:jc w:val="both"/>
        <w:rPr>
          <w:rFonts w:ascii="Arial Narrow" w:hAnsi="Arial Narrow" w:cs="Arial"/>
          <w:sz w:val="20"/>
          <w:szCs w:val="22"/>
          <w:lang w:val="en-GB"/>
        </w:rPr>
      </w:pPr>
      <w:r w:rsidRPr="00EA2734">
        <w:rPr>
          <w:rFonts w:ascii="Arial Narrow" w:hAnsi="Arial Narrow" w:cs="Arial"/>
          <w:sz w:val="20"/>
          <w:szCs w:val="22"/>
          <w:lang w:val="en-GB"/>
        </w:rPr>
        <w:t>REGON: 008033000</w:t>
      </w:r>
      <w:r w:rsidRPr="00EA2734">
        <w:rPr>
          <w:rFonts w:ascii="Arial Narrow" w:hAnsi="Arial Narrow" w:cs="Arial"/>
          <w:sz w:val="20"/>
          <w:szCs w:val="22"/>
          <w:lang w:val="en-GB"/>
        </w:rPr>
        <w:tab/>
      </w:r>
      <w:r w:rsidRPr="00EA2734">
        <w:rPr>
          <w:rFonts w:ascii="Arial Narrow" w:hAnsi="Arial Narrow" w:cs="Arial"/>
          <w:sz w:val="20"/>
          <w:szCs w:val="22"/>
          <w:lang w:val="en-GB"/>
        </w:rPr>
        <w:tab/>
      </w:r>
      <w:r w:rsidRPr="00EA2734">
        <w:rPr>
          <w:rFonts w:ascii="Arial Narrow" w:hAnsi="Arial Narrow" w:cs="Arial"/>
          <w:sz w:val="20"/>
          <w:szCs w:val="22"/>
          <w:lang w:val="en-GB"/>
        </w:rPr>
        <w:tab/>
      </w:r>
      <w:r w:rsidRPr="00EA2734">
        <w:rPr>
          <w:rFonts w:ascii="Arial Narrow" w:hAnsi="Arial Narrow" w:cs="Arial"/>
          <w:sz w:val="20"/>
          <w:szCs w:val="22"/>
          <w:lang w:val="en-GB"/>
        </w:rPr>
        <w:tab/>
      </w:r>
      <w:r w:rsidRPr="00EA2734">
        <w:rPr>
          <w:rFonts w:ascii="Arial Narrow" w:hAnsi="Arial Narrow" w:cs="Arial"/>
          <w:sz w:val="20"/>
          <w:szCs w:val="22"/>
          <w:lang w:val="en-GB"/>
        </w:rPr>
        <w:tab/>
      </w:r>
    </w:p>
    <w:p w14:paraId="47C83F15" w14:textId="77777777" w:rsidR="008C6BA0" w:rsidRPr="00EA2734" w:rsidRDefault="008C6BA0" w:rsidP="002A6C67">
      <w:pPr>
        <w:jc w:val="both"/>
        <w:rPr>
          <w:rFonts w:ascii="Arial Narrow" w:hAnsi="Arial Narrow" w:cs="Arial"/>
          <w:sz w:val="20"/>
          <w:szCs w:val="22"/>
          <w:lang w:val="en-GB"/>
        </w:rPr>
      </w:pPr>
      <w:r w:rsidRPr="00EA2734">
        <w:rPr>
          <w:rFonts w:ascii="Arial Narrow" w:hAnsi="Arial Narrow" w:cs="Arial"/>
          <w:sz w:val="20"/>
          <w:szCs w:val="22"/>
          <w:lang w:val="en-GB"/>
        </w:rPr>
        <w:t>NIP: 8130334531</w:t>
      </w:r>
      <w:r w:rsidRPr="00EA2734">
        <w:rPr>
          <w:rFonts w:ascii="Arial Narrow" w:hAnsi="Arial Narrow" w:cs="Arial"/>
          <w:sz w:val="20"/>
          <w:szCs w:val="22"/>
          <w:lang w:val="en-GB"/>
        </w:rPr>
        <w:tab/>
      </w:r>
      <w:r w:rsidRPr="00EA2734">
        <w:rPr>
          <w:rFonts w:ascii="Arial Narrow" w:hAnsi="Arial Narrow" w:cs="Arial"/>
          <w:sz w:val="20"/>
          <w:szCs w:val="22"/>
          <w:lang w:val="en-GB"/>
        </w:rPr>
        <w:tab/>
      </w:r>
      <w:r w:rsidRPr="00EA2734">
        <w:rPr>
          <w:rFonts w:ascii="Arial Narrow" w:hAnsi="Arial Narrow" w:cs="Arial"/>
          <w:sz w:val="20"/>
          <w:szCs w:val="22"/>
          <w:lang w:val="en-GB"/>
        </w:rPr>
        <w:tab/>
      </w:r>
      <w:r w:rsidRPr="00EA2734">
        <w:rPr>
          <w:rFonts w:ascii="Arial Narrow" w:hAnsi="Arial Narrow" w:cs="Arial"/>
          <w:sz w:val="20"/>
          <w:szCs w:val="22"/>
          <w:lang w:val="en-GB"/>
        </w:rPr>
        <w:tab/>
      </w:r>
    </w:p>
    <w:p w14:paraId="6828ECE1" w14:textId="3F024BC2" w:rsidR="008C6BA0" w:rsidRPr="00EA2734" w:rsidRDefault="00827E41" w:rsidP="002A6C67">
      <w:pPr>
        <w:jc w:val="both"/>
        <w:rPr>
          <w:rFonts w:ascii="Arial Narrow" w:hAnsi="Arial Narrow" w:cs="Arial"/>
          <w:sz w:val="20"/>
          <w:szCs w:val="22"/>
          <w:lang w:val="en-GB"/>
        </w:rPr>
      </w:pPr>
      <w:r w:rsidRPr="00EA2734">
        <w:rPr>
          <w:rFonts w:ascii="Arial Narrow" w:hAnsi="Arial Narrow" w:cs="Arial"/>
          <w:sz w:val="20"/>
          <w:szCs w:val="22"/>
          <w:lang w:val="en-GB"/>
        </w:rPr>
        <w:t>Authorised capital of PLN 730 000 fully paid up</w:t>
      </w:r>
    </w:p>
    <w:p w14:paraId="0514754B" w14:textId="16ECD9F4" w:rsidR="008C6BA0" w:rsidRPr="00EA2734" w:rsidRDefault="00827E41" w:rsidP="002A6C67">
      <w:pPr>
        <w:jc w:val="both"/>
        <w:rPr>
          <w:rFonts w:ascii="Arial Narrow" w:hAnsi="Arial Narrow" w:cs="Arial"/>
          <w:sz w:val="20"/>
          <w:szCs w:val="22"/>
          <w:lang w:val="en-GB"/>
        </w:rPr>
      </w:pPr>
      <w:r w:rsidRPr="00EA2734">
        <w:rPr>
          <w:rFonts w:ascii="Arial Narrow" w:hAnsi="Arial Narrow" w:cs="Arial"/>
          <w:sz w:val="20"/>
          <w:szCs w:val="22"/>
          <w:lang w:val="en-GB"/>
        </w:rPr>
        <w:t>Web page</w:t>
      </w:r>
      <w:r w:rsidR="008C6BA0" w:rsidRPr="00EA2734">
        <w:rPr>
          <w:rFonts w:ascii="Arial Narrow" w:hAnsi="Arial Narrow" w:cs="Arial"/>
          <w:sz w:val="20"/>
          <w:szCs w:val="22"/>
          <w:lang w:val="en-GB"/>
        </w:rPr>
        <w:t xml:space="preserve">: </w:t>
      </w:r>
      <w:hyperlink r:id="rId9" w:history="1">
        <w:r w:rsidR="008C6BA0" w:rsidRPr="00EA2734">
          <w:rPr>
            <w:rFonts w:ascii="Arial Narrow" w:hAnsi="Arial Narrow" w:cs="Arial"/>
            <w:sz w:val="20"/>
            <w:szCs w:val="22"/>
            <w:lang w:val="en-GB"/>
          </w:rPr>
          <w:t>www.opteam.pl</w:t>
        </w:r>
      </w:hyperlink>
    </w:p>
    <w:p w14:paraId="7CE473E4" w14:textId="77777777" w:rsidR="008C6BA0" w:rsidRPr="00EA2734" w:rsidRDefault="008C6BA0" w:rsidP="002A6C67">
      <w:pPr>
        <w:jc w:val="both"/>
        <w:rPr>
          <w:rFonts w:ascii="Arial Narrow" w:hAnsi="Arial Narrow" w:cs="Arial"/>
          <w:sz w:val="20"/>
          <w:szCs w:val="22"/>
          <w:lang w:val="en-GB"/>
        </w:rPr>
      </w:pPr>
    </w:p>
    <w:p w14:paraId="633EF420" w14:textId="11B04350" w:rsidR="008C6BA0" w:rsidRPr="00EA2734" w:rsidRDefault="00827E41" w:rsidP="002A6C67">
      <w:pPr>
        <w:jc w:val="both"/>
        <w:rPr>
          <w:rFonts w:ascii="Arial Narrow" w:hAnsi="Arial Narrow" w:cs="Arial"/>
          <w:sz w:val="20"/>
          <w:szCs w:val="22"/>
          <w:lang w:val="en-GB"/>
        </w:rPr>
      </w:pPr>
      <w:r w:rsidRPr="00EA2734">
        <w:rPr>
          <w:rFonts w:ascii="Arial Narrow" w:hAnsi="Arial Narrow" w:cs="Arial"/>
          <w:sz w:val="20"/>
          <w:szCs w:val="22"/>
          <w:lang w:val="en-GB"/>
        </w:rPr>
        <w:t xml:space="preserve">Issuer’s shares are noted on parallel market </w:t>
      </w:r>
      <w:r w:rsidR="008C6BA0" w:rsidRPr="00EA2734">
        <w:rPr>
          <w:rFonts w:ascii="Arial Narrow" w:hAnsi="Arial Narrow" w:cs="Arial"/>
          <w:sz w:val="20"/>
          <w:szCs w:val="22"/>
          <w:lang w:val="en-GB"/>
        </w:rPr>
        <w:t>5 PLUS</w:t>
      </w:r>
      <w:r w:rsidRPr="00EA2734">
        <w:rPr>
          <w:rFonts w:ascii="Arial Narrow" w:hAnsi="Arial Narrow" w:cs="Arial"/>
          <w:sz w:val="20"/>
          <w:szCs w:val="22"/>
          <w:lang w:val="en-GB"/>
        </w:rPr>
        <w:t xml:space="preserve"> of Warsaw Stock Exchange</w:t>
      </w:r>
      <w:r w:rsidR="008C6BA0" w:rsidRPr="00EA2734">
        <w:rPr>
          <w:rFonts w:ascii="Arial Narrow" w:hAnsi="Arial Narrow" w:cs="Arial"/>
          <w:sz w:val="20"/>
          <w:szCs w:val="22"/>
          <w:lang w:val="en-GB"/>
        </w:rPr>
        <w:t xml:space="preserve"> </w:t>
      </w:r>
      <w:r w:rsidRPr="00EA2734">
        <w:rPr>
          <w:rFonts w:ascii="Arial Narrow" w:hAnsi="Arial Narrow" w:cs="Arial"/>
          <w:sz w:val="20"/>
          <w:szCs w:val="22"/>
          <w:lang w:val="en-GB"/>
        </w:rPr>
        <w:t>[</w:t>
      </w:r>
      <w:proofErr w:type="spellStart"/>
      <w:r w:rsidRPr="00EA2734">
        <w:rPr>
          <w:rFonts w:ascii="Arial Narrow" w:hAnsi="Arial Narrow" w:cs="Arial"/>
          <w:sz w:val="20"/>
          <w:szCs w:val="22"/>
          <w:lang w:val="en-GB"/>
        </w:rPr>
        <w:t>Giełda</w:t>
      </w:r>
      <w:proofErr w:type="spellEnd"/>
      <w:r w:rsidR="008C6BA0" w:rsidRPr="00EA2734">
        <w:rPr>
          <w:rFonts w:ascii="Arial Narrow" w:hAnsi="Arial Narrow" w:cs="Arial"/>
          <w:sz w:val="20"/>
          <w:szCs w:val="22"/>
          <w:lang w:val="en-GB"/>
        </w:rPr>
        <w:t xml:space="preserve"> </w:t>
      </w:r>
      <w:proofErr w:type="spellStart"/>
      <w:r w:rsidR="008C6BA0" w:rsidRPr="00EA2734">
        <w:rPr>
          <w:rFonts w:ascii="Arial Narrow" w:hAnsi="Arial Narrow" w:cs="Arial"/>
          <w:sz w:val="20"/>
          <w:szCs w:val="22"/>
          <w:lang w:val="en-GB"/>
        </w:rPr>
        <w:t>Papierów</w:t>
      </w:r>
      <w:proofErr w:type="spellEnd"/>
      <w:r w:rsidR="008C6BA0" w:rsidRPr="00EA2734">
        <w:rPr>
          <w:rFonts w:ascii="Arial Narrow" w:hAnsi="Arial Narrow" w:cs="Arial"/>
          <w:sz w:val="20"/>
          <w:szCs w:val="22"/>
          <w:lang w:val="en-GB"/>
        </w:rPr>
        <w:t xml:space="preserve"> </w:t>
      </w:r>
      <w:proofErr w:type="spellStart"/>
      <w:r w:rsidR="008C6BA0" w:rsidRPr="00EA2734">
        <w:rPr>
          <w:rFonts w:ascii="Arial Narrow" w:hAnsi="Arial Narrow" w:cs="Arial"/>
          <w:sz w:val="20"/>
          <w:szCs w:val="22"/>
          <w:lang w:val="en-GB"/>
        </w:rPr>
        <w:t>War</w:t>
      </w:r>
      <w:r w:rsidRPr="00EA2734">
        <w:rPr>
          <w:rFonts w:ascii="Arial Narrow" w:hAnsi="Arial Narrow" w:cs="Arial"/>
          <w:sz w:val="20"/>
          <w:szCs w:val="22"/>
          <w:lang w:val="en-GB"/>
        </w:rPr>
        <w:t>tościowych</w:t>
      </w:r>
      <w:proofErr w:type="spellEnd"/>
      <w:r w:rsidRPr="00EA2734">
        <w:rPr>
          <w:rFonts w:ascii="Arial Narrow" w:hAnsi="Arial Narrow" w:cs="Arial"/>
          <w:sz w:val="20"/>
          <w:szCs w:val="22"/>
          <w:lang w:val="en-GB"/>
        </w:rPr>
        <w:t xml:space="preserve"> w </w:t>
      </w:r>
      <w:proofErr w:type="spellStart"/>
      <w:r w:rsidRPr="00EA2734">
        <w:rPr>
          <w:rFonts w:ascii="Arial Narrow" w:hAnsi="Arial Narrow" w:cs="Arial"/>
          <w:sz w:val="20"/>
          <w:szCs w:val="22"/>
          <w:lang w:val="en-GB"/>
        </w:rPr>
        <w:t>Warszawie</w:t>
      </w:r>
      <w:proofErr w:type="spellEnd"/>
      <w:r w:rsidRPr="00EA2734">
        <w:rPr>
          <w:rFonts w:ascii="Arial Narrow" w:hAnsi="Arial Narrow" w:cs="Arial"/>
          <w:sz w:val="20"/>
          <w:szCs w:val="22"/>
          <w:lang w:val="en-GB"/>
        </w:rPr>
        <w:t xml:space="preserve"> S.A.]</w:t>
      </w:r>
    </w:p>
    <w:p w14:paraId="01286B09" w14:textId="4E2B2AF8" w:rsidR="008C6BA0" w:rsidRPr="00EA2734" w:rsidRDefault="00827E41" w:rsidP="002A6C67">
      <w:pPr>
        <w:jc w:val="both"/>
        <w:rPr>
          <w:rFonts w:ascii="Arial Narrow" w:hAnsi="Arial Narrow" w:cs="Arial"/>
          <w:sz w:val="20"/>
          <w:szCs w:val="22"/>
          <w:lang w:val="en-GB"/>
        </w:rPr>
      </w:pPr>
      <w:r w:rsidRPr="00EA2734">
        <w:rPr>
          <w:rFonts w:ascii="Arial Narrow" w:hAnsi="Arial Narrow" w:cs="Arial"/>
          <w:sz w:val="20"/>
          <w:szCs w:val="22"/>
          <w:lang w:val="en-GB"/>
        </w:rPr>
        <w:t>WSE symbol</w:t>
      </w:r>
      <w:r w:rsidR="008C6BA0" w:rsidRPr="00EA2734">
        <w:rPr>
          <w:rFonts w:ascii="Arial Narrow" w:hAnsi="Arial Narrow" w:cs="Arial"/>
          <w:sz w:val="20"/>
          <w:szCs w:val="22"/>
          <w:lang w:val="en-GB"/>
        </w:rPr>
        <w:tab/>
      </w:r>
      <w:r w:rsidR="008C6BA0" w:rsidRPr="00EA2734">
        <w:rPr>
          <w:rFonts w:ascii="Arial Narrow" w:hAnsi="Arial Narrow" w:cs="Arial"/>
          <w:sz w:val="20"/>
          <w:szCs w:val="22"/>
          <w:lang w:val="en-GB"/>
        </w:rPr>
        <w:tab/>
      </w:r>
      <w:r w:rsidR="008C6BA0" w:rsidRPr="00EA2734">
        <w:rPr>
          <w:rFonts w:ascii="Arial Narrow" w:hAnsi="Arial Narrow" w:cs="Arial"/>
          <w:sz w:val="20"/>
          <w:szCs w:val="22"/>
          <w:lang w:val="en-GB"/>
        </w:rPr>
        <w:tab/>
        <w:t>OPM</w:t>
      </w:r>
    </w:p>
    <w:p w14:paraId="069EF1F8" w14:textId="0DB7F4FF" w:rsidR="008C6BA0" w:rsidRPr="00EA2734" w:rsidRDefault="00827E41" w:rsidP="002A6C67">
      <w:pPr>
        <w:jc w:val="both"/>
        <w:rPr>
          <w:rFonts w:ascii="Arial Narrow" w:hAnsi="Arial Narrow" w:cs="Arial"/>
          <w:sz w:val="20"/>
          <w:szCs w:val="22"/>
          <w:lang w:val="en-GB"/>
        </w:rPr>
      </w:pPr>
      <w:r w:rsidRPr="00EA2734">
        <w:rPr>
          <w:rFonts w:ascii="Arial Narrow" w:hAnsi="Arial Narrow" w:cs="Arial"/>
          <w:sz w:val="20"/>
          <w:szCs w:val="22"/>
          <w:lang w:val="en-GB"/>
        </w:rPr>
        <w:t>WSE symbol</w:t>
      </w:r>
      <w:r w:rsidRPr="00EA2734">
        <w:rPr>
          <w:rFonts w:ascii="Arial Narrow" w:hAnsi="Arial Narrow" w:cs="Arial"/>
          <w:sz w:val="20"/>
          <w:szCs w:val="22"/>
          <w:lang w:val="en-GB"/>
        </w:rPr>
        <w:tab/>
      </w:r>
      <w:r w:rsidRPr="00EA2734">
        <w:rPr>
          <w:rFonts w:ascii="Arial Narrow" w:hAnsi="Arial Narrow" w:cs="Arial"/>
          <w:sz w:val="20"/>
          <w:szCs w:val="22"/>
          <w:lang w:val="en-GB"/>
        </w:rPr>
        <w:tab/>
      </w:r>
      <w:r w:rsidRPr="00EA2734">
        <w:rPr>
          <w:rFonts w:ascii="Arial Narrow" w:hAnsi="Arial Narrow" w:cs="Arial"/>
          <w:sz w:val="20"/>
          <w:szCs w:val="22"/>
          <w:lang w:val="en-GB"/>
        </w:rPr>
        <w:tab/>
        <w:t>Information Technology</w:t>
      </w:r>
    </w:p>
    <w:p w14:paraId="1AB56554" w14:textId="0FE067C6" w:rsidR="008C6BA0" w:rsidRPr="00EA2734" w:rsidRDefault="00827E41" w:rsidP="002A6C67">
      <w:pPr>
        <w:jc w:val="both"/>
        <w:rPr>
          <w:rFonts w:ascii="Arial Narrow" w:hAnsi="Arial Narrow" w:cs="Arial"/>
          <w:sz w:val="20"/>
          <w:szCs w:val="22"/>
          <w:lang w:val="en-GB"/>
        </w:rPr>
      </w:pPr>
      <w:r w:rsidRPr="00EA2734">
        <w:rPr>
          <w:rFonts w:ascii="Arial Narrow" w:hAnsi="Arial Narrow" w:cs="Arial"/>
          <w:sz w:val="20"/>
          <w:szCs w:val="22"/>
          <w:lang w:val="en-GB"/>
        </w:rPr>
        <w:t xml:space="preserve">Indices  </w:t>
      </w:r>
      <w:r w:rsidRPr="00EA2734">
        <w:rPr>
          <w:rFonts w:ascii="Arial Narrow" w:hAnsi="Arial Narrow" w:cs="Arial"/>
          <w:sz w:val="20"/>
          <w:szCs w:val="22"/>
          <w:lang w:val="en-GB"/>
        </w:rPr>
        <w:tab/>
      </w:r>
      <w:r w:rsidR="008C6BA0" w:rsidRPr="00EA2734">
        <w:rPr>
          <w:rFonts w:ascii="Arial Narrow" w:hAnsi="Arial Narrow" w:cs="Arial"/>
          <w:sz w:val="20"/>
          <w:szCs w:val="22"/>
          <w:lang w:val="en-GB"/>
        </w:rPr>
        <w:tab/>
      </w:r>
      <w:r w:rsidR="008C6BA0" w:rsidRPr="00EA2734">
        <w:rPr>
          <w:rFonts w:ascii="Arial Narrow" w:hAnsi="Arial Narrow" w:cs="Arial"/>
          <w:sz w:val="20"/>
          <w:szCs w:val="22"/>
          <w:lang w:val="en-GB"/>
        </w:rPr>
        <w:tab/>
      </w:r>
      <w:r w:rsidR="008C6BA0" w:rsidRPr="00EA2734">
        <w:rPr>
          <w:rFonts w:ascii="Arial Narrow" w:hAnsi="Arial Narrow" w:cs="Arial"/>
          <w:sz w:val="20"/>
          <w:szCs w:val="22"/>
          <w:lang w:val="en-GB"/>
        </w:rPr>
        <w:tab/>
        <w:t>WIG</w:t>
      </w:r>
      <w:r w:rsidRPr="00EA2734">
        <w:rPr>
          <w:rFonts w:ascii="Arial Narrow" w:hAnsi="Arial Narrow" w:cs="Arial"/>
          <w:sz w:val="20"/>
          <w:szCs w:val="22"/>
          <w:lang w:val="en-GB"/>
        </w:rPr>
        <w:t xml:space="preserve"> </w:t>
      </w:r>
    </w:p>
    <w:p w14:paraId="6C0D0B94" w14:textId="38950CEC" w:rsidR="00827E41" w:rsidRPr="00EA2734" w:rsidRDefault="00827E41" w:rsidP="00827E41">
      <w:pPr>
        <w:jc w:val="both"/>
        <w:rPr>
          <w:rFonts w:ascii="Arial Narrow" w:hAnsi="Arial Narrow" w:cs="Arial"/>
          <w:sz w:val="20"/>
          <w:szCs w:val="22"/>
          <w:lang w:val="en-GB"/>
        </w:rPr>
      </w:pPr>
      <w:r w:rsidRPr="00EA2734">
        <w:rPr>
          <w:rFonts w:ascii="Arial Narrow" w:hAnsi="Arial Narrow" w:cs="Arial"/>
          <w:sz w:val="20"/>
          <w:szCs w:val="22"/>
          <w:lang w:val="en-GB"/>
        </w:rPr>
        <w:t xml:space="preserve">Depository, clearing and </w:t>
      </w:r>
      <w:r w:rsidRPr="00EA2734">
        <w:rPr>
          <w:rFonts w:ascii="Arial Narrow" w:hAnsi="Arial Narrow" w:cs="Arial"/>
          <w:sz w:val="20"/>
          <w:szCs w:val="22"/>
          <w:lang w:val="en-GB"/>
        </w:rPr>
        <w:tab/>
      </w:r>
      <w:r w:rsidRPr="00EA2734">
        <w:rPr>
          <w:rFonts w:ascii="Arial Narrow" w:hAnsi="Arial Narrow" w:cs="Arial"/>
          <w:sz w:val="20"/>
          <w:szCs w:val="22"/>
          <w:lang w:val="en-GB"/>
        </w:rPr>
        <w:tab/>
        <w:t>National Depository for Securities [</w:t>
      </w:r>
      <w:proofErr w:type="spellStart"/>
      <w:r w:rsidRPr="00EA2734">
        <w:rPr>
          <w:rFonts w:ascii="Arial Narrow" w:hAnsi="Arial Narrow" w:cs="Arial"/>
          <w:sz w:val="20"/>
          <w:szCs w:val="22"/>
          <w:lang w:val="en-GB"/>
        </w:rPr>
        <w:t>Krajowy</w:t>
      </w:r>
      <w:proofErr w:type="spellEnd"/>
      <w:r w:rsidRPr="00EA2734">
        <w:rPr>
          <w:rFonts w:ascii="Arial Narrow" w:hAnsi="Arial Narrow" w:cs="Arial"/>
          <w:sz w:val="20"/>
          <w:szCs w:val="22"/>
          <w:lang w:val="en-GB"/>
        </w:rPr>
        <w:t xml:space="preserve"> </w:t>
      </w:r>
      <w:proofErr w:type="spellStart"/>
      <w:r w:rsidRPr="00EA2734">
        <w:rPr>
          <w:rFonts w:ascii="Arial Narrow" w:hAnsi="Arial Narrow" w:cs="Arial"/>
          <w:sz w:val="20"/>
          <w:szCs w:val="22"/>
          <w:lang w:val="en-GB"/>
        </w:rPr>
        <w:t>Depozyt</w:t>
      </w:r>
      <w:proofErr w:type="spellEnd"/>
      <w:r w:rsidRPr="00EA2734">
        <w:rPr>
          <w:rFonts w:ascii="Arial Narrow" w:hAnsi="Arial Narrow" w:cs="Arial"/>
          <w:sz w:val="20"/>
          <w:szCs w:val="22"/>
          <w:lang w:val="en-GB"/>
        </w:rPr>
        <w:t xml:space="preserve"> </w:t>
      </w:r>
      <w:proofErr w:type="spellStart"/>
      <w:r w:rsidRPr="00EA2734">
        <w:rPr>
          <w:rFonts w:ascii="Arial Narrow" w:hAnsi="Arial Narrow" w:cs="Arial"/>
          <w:sz w:val="20"/>
          <w:szCs w:val="22"/>
          <w:lang w:val="en-GB"/>
        </w:rPr>
        <w:t>Papierów</w:t>
      </w:r>
      <w:proofErr w:type="spellEnd"/>
      <w:r w:rsidRPr="00EA2734">
        <w:rPr>
          <w:rFonts w:ascii="Arial Narrow" w:hAnsi="Arial Narrow" w:cs="Arial"/>
          <w:sz w:val="20"/>
          <w:szCs w:val="22"/>
          <w:lang w:val="en-GB"/>
        </w:rPr>
        <w:t xml:space="preserve"> </w:t>
      </w:r>
      <w:proofErr w:type="spellStart"/>
      <w:r w:rsidRPr="00EA2734">
        <w:rPr>
          <w:rFonts w:ascii="Arial Narrow" w:hAnsi="Arial Narrow" w:cs="Arial"/>
          <w:sz w:val="20"/>
          <w:szCs w:val="22"/>
          <w:lang w:val="en-GB"/>
        </w:rPr>
        <w:t>Wartościowych</w:t>
      </w:r>
      <w:proofErr w:type="spellEnd"/>
      <w:r w:rsidRPr="00EA2734">
        <w:rPr>
          <w:rFonts w:ascii="Arial Narrow" w:hAnsi="Arial Narrow" w:cs="Arial"/>
          <w:sz w:val="20"/>
          <w:szCs w:val="22"/>
          <w:lang w:val="en-GB"/>
        </w:rPr>
        <w:t xml:space="preserve"> S.A. </w:t>
      </w:r>
    </w:p>
    <w:p w14:paraId="084D3C73" w14:textId="491D7CCC" w:rsidR="00827E41" w:rsidRPr="00EA2734" w:rsidRDefault="00827E41" w:rsidP="00827E41">
      <w:pPr>
        <w:jc w:val="both"/>
        <w:rPr>
          <w:rFonts w:ascii="Arial Narrow" w:hAnsi="Arial Narrow" w:cs="Arial"/>
          <w:sz w:val="20"/>
          <w:szCs w:val="22"/>
          <w:lang w:val="en-GB"/>
        </w:rPr>
      </w:pPr>
      <w:r w:rsidRPr="00EA2734">
        <w:rPr>
          <w:rFonts w:ascii="Arial Narrow" w:hAnsi="Arial Narrow" w:cs="Arial"/>
          <w:sz w:val="20"/>
          <w:szCs w:val="22"/>
          <w:lang w:val="en-GB"/>
        </w:rPr>
        <w:t xml:space="preserve">settlement system -  </w:t>
      </w:r>
      <w:r w:rsidRPr="00EA2734">
        <w:rPr>
          <w:rFonts w:ascii="Arial Narrow" w:hAnsi="Arial Narrow" w:cs="Arial"/>
          <w:sz w:val="20"/>
          <w:szCs w:val="22"/>
          <w:lang w:val="en-GB"/>
        </w:rPr>
        <w:tab/>
      </w:r>
      <w:r w:rsidRPr="00EA2734">
        <w:rPr>
          <w:rFonts w:ascii="Arial Narrow" w:hAnsi="Arial Narrow" w:cs="Arial"/>
          <w:sz w:val="20"/>
          <w:szCs w:val="22"/>
          <w:lang w:val="en-GB"/>
        </w:rPr>
        <w:tab/>
        <w:t>(KDPW)</w:t>
      </w:r>
    </w:p>
    <w:p w14:paraId="75591D4D" w14:textId="77777777" w:rsidR="004B2AB9" w:rsidRPr="00EA2734" w:rsidRDefault="004B2AB9" w:rsidP="004B2AB9">
      <w:pPr>
        <w:widowControl w:val="0"/>
        <w:autoSpaceDE w:val="0"/>
        <w:autoSpaceDN w:val="0"/>
        <w:adjustRightInd w:val="0"/>
        <w:spacing w:after="120" w:line="360" w:lineRule="auto"/>
        <w:jc w:val="both"/>
        <w:rPr>
          <w:rFonts w:ascii="Arial Narrow" w:hAnsi="Arial Narrow" w:cs="Arial"/>
          <w:sz w:val="20"/>
          <w:szCs w:val="20"/>
          <w:lang w:val="en-GB"/>
        </w:rPr>
      </w:pPr>
    </w:p>
    <w:p w14:paraId="76C5FFEA" w14:textId="32131DB8" w:rsidR="0040161F" w:rsidRPr="00EA2734" w:rsidRDefault="00421975" w:rsidP="0041068C">
      <w:pPr>
        <w:widowControl w:val="0"/>
        <w:numPr>
          <w:ilvl w:val="0"/>
          <w:numId w:val="26"/>
        </w:numPr>
        <w:autoSpaceDE w:val="0"/>
        <w:autoSpaceDN w:val="0"/>
        <w:adjustRightInd w:val="0"/>
        <w:spacing w:after="120" w:line="360" w:lineRule="auto"/>
        <w:ind w:left="284" w:hanging="284"/>
        <w:jc w:val="both"/>
        <w:rPr>
          <w:rFonts w:ascii="Arial Narrow" w:hAnsi="Arial Narrow" w:cs="Arial"/>
          <w:b/>
          <w:sz w:val="20"/>
          <w:szCs w:val="20"/>
          <w:lang w:val="en-GB"/>
        </w:rPr>
      </w:pPr>
      <w:r w:rsidRPr="00EA2734">
        <w:rPr>
          <w:rFonts w:ascii="Arial Narrow" w:hAnsi="Arial Narrow" w:cs="Arial"/>
          <w:b/>
          <w:sz w:val="20"/>
          <w:szCs w:val="20"/>
          <w:lang w:val="en-GB"/>
        </w:rPr>
        <w:t>Basic information about the Issuer’s products and services.</w:t>
      </w:r>
    </w:p>
    <w:p w14:paraId="08DF363F" w14:textId="2D6AED51" w:rsidR="002A6C67" w:rsidRPr="00EA2734" w:rsidRDefault="00421975" w:rsidP="002A6C67">
      <w:pPr>
        <w:jc w:val="both"/>
        <w:rPr>
          <w:rFonts w:ascii="Arial Narrow" w:hAnsi="Arial Narrow" w:cs="Arial"/>
          <w:sz w:val="20"/>
          <w:szCs w:val="20"/>
          <w:lang w:val="en-GB"/>
        </w:rPr>
      </w:pPr>
      <w:r w:rsidRPr="00EA2734">
        <w:rPr>
          <w:rFonts w:ascii="Arial Narrow" w:hAnsi="Arial Narrow" w:cs="Arial"/>
          <w:sz w:val="20"/>
          <w:szCs w:val="20"/>
          <w:lang w:val="en-GB"/>
        </w:rPr>
        <w:t>As an integrator, the Company’s commercial activities were based on the following products portfolio</w:t>
      </w:r>
    </w:p>
    <w:p w14:paraId="5E10F305" w14:textId="7A1F0195" w:rsidR="001762B4" w:rsidRPr="00EA2734" w:rsidRDefault="001762B4" w:rsidP="002A6C67">
      <w:pPr>
        <w:jc w:val="both"/>
        <w:rPr>
          <w:rFonts w:ascii="Arial Narrow" w:hAnsi="Arial Narrow" w:cs="Arial"/>
          <w:sz w:val="20"/>
          <w:szCs w:val="20"/>
          <w:lang w:val="en-GB"/>
        </w:rPr>
      </w:pPr>
      <w:proofErr w:type="spellStart"/>
      <w:r w:rsidRPr="00EA2734">
        <w:rPr>
          <w:rFonts w:ascii="Arial Narrow" w:hAnsi="Arial Narrow" w:cs="Arial"/>
          <w:b/>
          <w:sz w:val="20"/>
          <w:szCs w:val="20"/>
          <w:lang w:val="en-GB"/>
        </w:rPr>
        <w:t>Comarch</w:t>
      </w:r>
      <w:proofErr w:type="spellEnd"/>
      <w:r w:rsidRPr="00EA2734">
        <w:rPr>
          <w:rFonts w:ascii="Arial Narrow" w:hAnsi="Arial Narrow" w:cs="Arial"/>
          <w:b/>
          <w:sz w:val="20"/>
          <w:szCs w:val="20"/>
          <w:lang w:val="en-GB"/>
        </w:rPr>
        <w:t xml:space="preserve"> ERP</w:t>
      </w:r>
      <w:r w:rsidRPr="00EA2734">
        <w:rPr>
          <w:rFonts w:ascii="Arial Narrow" w:hAnsi="Arial Narrow" w:cs="Arial"/>
          <w:sz w:val="20"/>
          <w:szCs w:val="20"/>
          <w:lang w:val="en-GB"/>
        </w:rPr>
        <w:t xml:space="preserve"> –</w:t>
      </w:r>
      <w:r w:rsidR="00421975" w:rsidRPr="00EA2734">
        <w:rPr>
          <w:rFonts w:ascii="Arial Narrow" w:hAnsi="Arial Narrow" w:cs="Arial"/>
          <w:sz w:val="20"/>
          <w:szCs w:val="20"/>
          <w:lang w:val="en-GB"/>
        </w:rPr>
        <w:t xml:space="preserve">a group of ERP systems (Optima, XL, </w:t>
      </w:r>
      <w:proofErr w:type="spellStart"/>
      <w:r w:rsidR="00421975" w:rsidRPr="00EA2734">
        <w:rPr>
          <w:rFonts w:ascii="Arial Narrow" w:hAnsi="Arial Narrow" w:cs="Arial"/>
          <w:sz w:val="20"/>
          <w:szCs w:val="20"/>
          <w:lang w:val="en-GB"/>
        </w:rPr>
        <w:t>Altum</w:t>
      </w:r>
      <w:proofErr w:type="spellEnd"/>
      <w:r w:rsidR="00421975" w:rsidRPr="00EA2734">
        <w:rPr>
          <w:rFonts w:ascii="Arial Narrow" w:hAnsi="Arial Narrow" w:cs="Arial"/>
          <w:sz w:val="20"/>
          <w:szCs w:val="20"/>
          <w:lang w:val="en-GB"/>
        </w:rPr>
        <w:t>) dedicated for business sector, comprising full implementations in small, medium and large companies starting from delivery and implementation to servicing and maintenance. The system include complete modules handling the following areas of the enterprise: logistics, accounting, manufacturing, HR and payroll, business intelligence, etc.</w:t>
      </w:r>
    </w:p>
    <w:p w14:paraId="3E882AD0" w14:textId="77777777" w:rsidR="002A6C67" w:rsidRPr="00EA2734" w:rsidRDefault="002A6C67" w:rsidP="002A6C67">
      <w:pPr>
        <w:jc w:val="both"/>
        <w:rPr>
          <w:rFonts w:ascii="Arial Narrow" w:hAnsi="Arial Narrow" w:cs="Arial"/>
          <w:sz w:val="20"/>
          <w:szCs w:val="20"/>
          <w:lang w:val="en-GB"/>
        </w:rPr>
      </w:pPr>
    </w:p>
    <w:p w14:paraId="4B47E5E6" w14:textId="128CA412" w:rsidR="001762B4" w:rsidRPr="00EA2734" w:rsidRDefault="001762B4" w:rsidP="002A6C67">
      <w:pPr>
        <w:jc w:val="both"/>
        <w:rPr>
          <w:rFonts w:ascii="Arial Narrow" w:hAnsi="Arial Narrow" w:cs="Arial"/>
          <w:sz w:val="20"/>
          <w:szCs w:val="20"/>
          <w:lang w:val="en-GB"/>
        </w:rPr>
      </w:pPr>
      <w:r w:rsidRPr="00EA2734">
        <w:rPr>
          <w:rFonts w:ascii="Arial Narrow" w:hAnsi="Arial Narrow" w:cs="Arial"/>
          <w:b/>
          <w:sz w:val="20"/>
          <w:szCs w:val="20"/>
          <w:lang w:val="en-GB"/>
        </w:rPr>
        <w:t>Unit4TETA –</w:t>
      </w:r>
      <w:r w:rsidR="00421975" w:rsidRPr="00EA2734">
        <w:rPr>
          <w:rFonts w:ascii="Arial Narrow" w:hAnsi="Arial Narrow" w:cs="Arial"/>
          <w:sz w:val="20"/>
          <w:szCs w:val="20"/>
          <w:lang w:val="en-GB"/>
        </w:rPr>
        <w:t>ERP system addressed mainly to the tertiary education (</w:t>
      </w:r>
      <w:proofErr w:type="spellStart"/>
      <w:r w:rsidR="00421975" w:rsidRPr="00EA2734">
        <w:rPr>
          <w:rFonts w:ascii="Arial Narrow" w:hAnsi="Arial Narrow" w:cs="Arial"/>
          <w:sz w:val="20"/>
          <w:szCs w:val="20"/>
          <w:lang w:val="en-GB"/>
        </w:rPr>
        <w:t>Teta</w:t>
      </w:r>
      <w:proofErr w:type="spellEnd"/>
      <w:r w:rsidR="00421975" w:rsidRPr="00EA2734">
        <w:rPr>
          <w:rFonts w:ascii="Arial Narrow" w:hAnsi="Arial Narrow" w:cs="Arial"/>
          <w:sz w:val="20"/>
          <w:szCs w:val="20"/>
          <w:lang w:val="en-GB"/>
        </w:rPr>
        <w:t xml:space="preserve"> EDU line), the product comprises such functionalities as: logistics, accounting, HR and payroll, etc.</w:t>
      </w:r>
    </w:p>
    <w:p w14:paraId="204B95A7" w14:textId="387F1298" w:rsidR="001762B4" w:rsidRPr="00EA2734" w:rsidRDefault="00421975" w:rsidP="002A6C67">
      <w:pPr>
        <w:jc w:val="both"/>
        <w:rPr>
          <w:rFonts w:ascii="Arial Narrow" w:hAnsi="Arial Narrow" w:cs="Arial"/>
          <w:sz w:val="20"/>
          <w:szCs w:val="20"/>
          <w:lang w:val="en-GB"/>
        </w:rPr>
      </w:pPr>
      <w:r w:rsidRPr="00EA2734">
        <w:rPr>
          <w:rFonts w:ascii="Arial Narrow" w:hAnsi="Arial Narrow" w:cs="Arial"/>
          <w:sz w:val="20"/>
          <w:szCs w:val="20"/>
          <w:lang w:val="en-GB"/>
        </w:rPr>
        <w:t>A special attention should be put to rich functionalities of HR and payroll module, which is an important element of competitive advantage.</w:t>
      </w:r>
    </w:p>
    <w:p w14:paraId="2CF35A2E" w14:textId="77777777" w:rsidR="002A6C67" w:rsidRPr="00EA2734" w:rsidRDefault="002A6C67" w:rsidP="002A6C67">
      <w:pPr>
        <w:jc w:val="both"/>
        <w:rPr>
          <w:rFonts w:ascii="Arial Narrow" w:hAnsi="Arial Narrow" w:cs="Arial"/>
          <w:sz w:val="20"/>
          <w:szCs w:val="20"/>
          <w:lang w:val="en-GB"/>
        </w:rPr>
      </w:pPr>
    </w:p>
    <w:p w14:paraId="676DCD13" w14:textId="7DF912B4" w:rsidR="001762B4" w:rsidRPr="00EA2734" w:rsidRDefault="00421975" w:rsidP="002A6C67">
      <w:pPr>
        <w:jc w:val="both"/>
        <w:rPr>
          <w:rFonts w:ascii="Arial Narrow" w:hAnsi="Arial Narrow" w:cs="Arial"/>
          <w:sz w:val="20"/>
          <w:szCs w:val="20"/>
          <w:lang w:val="en-GB"/>
        </w:rPr>
      </w:pPr>
      <w:r w:rsidRPr="00EA2734">
        <w:rPr>
          <w:rFonts w:ascii="Arial Narrow" w:hAnsi="Arial Narrow" w:cs="Arial"/>
          <w:sz w:val="20"/>
          <w:szCs w:val="20"/>
          <w:lang w:val="en-GB"/>
        </w:rPr>
        <w:t>Proprietary products and systems on which the Company based its sales are:</w:t>
      </w:r>
    </w:p>
    <w:p w14:paraId="6DFC2396" w14:textId="77777777" w:rsidR="002A6C67" w:rsidRPr="00EA2734" w:rsidRDefault="002A6C67" w:rsidP="002A6C67">
      <w:pPr>
        <w:jc w:val="both"/>
        <w:rPr>
          <w:rFonts w:ascii="Arial Narrow" w:hAnsi="Arial Narrow" w:cs="Arial"/>
          <w:sz w:val="20"/>
          <w:szCs w:val="20"/>
          <w:lang w:val="en-GB"/>
        </w:rPr>
      </w:pPr>
    </w:p>
    <w:p w14:paraId="7A6133AE" w14:textId="772CD8DD" w:rsidR="001762B4" w:rsidRPr="00EA2734" w:rsidRDefault="001762B4" w:rsidP="002A6C67">
      <w:pPr>
        <w:jc w:val="both"/>
        <w:rPr>
          <w:rFonts w:ascii="Arial Narrow" w:hAnsi="Arial Narrow" w:cs="Arial"/>
          <w:sz w:val="20"/>
          <w:szCs w:val="20"/>
          <w:lang w:val="en-GB"/>
        </w:rPr>
      </w:pPr>
      <w:proofErr w:type="spellStart"/>
      <w:r w:rsidRPr="00EA2734">
        <w:rPr>
          <w:rFonts w:ascii="Arial Narrow" w:hAnsi="Arial Narrow" w:cs="Arial"/>
          <w:b/>
          <w:sz w:val="20"/>
          <w:szCs w:val="20"/>
          <w:lang w:val="en-GB"/>
        </w:rPr>
        <w:t>OPTiCAMP</w:t>
      </w:r>
      <w:proofErr w:type="spellEnd"/>
      <w:r w:rsidR="00421975" w:rsidRPr="00EA2734">
        <w:rPr>
          <w:rFonts w:ascii="Arial Narrow" w:hAnsi="Arial Narrow" w:cs="Arial"/>
          <w:sz w:val="22"/>
          <w:szCs w:val="22"/>
          <w:lang w:val="en-GB"/>
        </w:rPr>
        <w:t xml:space="preserve"> –</w:t>
      </w:r>
      <w:r w:rsidR="00421975" w:rsidRPr="00EA2734">
        <w:rPr>
          <w:rFonts w:ascii="Arial Narrow" w:hAnsi="Arial Narrow" w:cs="Arial"/>
          <w:sz w:val="20"/>
          <w:szCs w:val="20"/>
          <w:lang w:val="en-GB"/>
        </w:rPr>
        <w:t>electronic identification systems in education.</w:t>
      </w:r>
    </w:p>
    <w:p w14:paraId="0D501223" w14:textId="0E887DEA" w:rsidR="00421975" w:rsidRPr="00EA2734" w:rsidRDefault="00421975" w:rsidP="00421975">
      <w:pPr>
        <w:jc w:val="both"/>
        <w:rPr>
          <w:rFonts w:ascii="Arial Narrow" w:hAnsi="Arial Narrow" w:cs="Arial"/>
          <w:sz w:val="20"/>
          <w:szCs w:val="20"/>
          <w:lang w:val="en-GB"/>
        </w:rPr>
      </w:pPr>
      <w:r w:rsidRPr="00EA2734">
        <w:rPr>
          <w:rFonts w:ascii="Arial Narrow" w:hAnsi="Arial Narrow" w:cs="Arial"/>
          <w:sz w:val="20"/>
          <w:szCs w:val="20"/>
          <w:lang w:val="en-GB"/>
        </w:rPr>
        <w:t xml:space="preserve">The </w:t>
      </w:r>
      <w:proofErr w:type="spellStart"/>
      <w:r w:rsidRPr="00EA2734">
        <w:rPr>
          <w:rFonts w:ascii="Arial Narrow" w:hAnsi="Arial Narrow" w:cs="Arial"/>
          <w:sz w:val="20"/>
          <w:szCs w:val="20"/>
          <w:lang w:val="en-GB"/>
        </w:rPr>
        <w:t>OPTicamp</w:t>
      </w:r>
      <w:proofErr w:type="spellEnd"/>
      <w:r w:rsidRPr="00EA2734">
        <w:rPr>
          <w:rFonts w:ascii="Arial Narrow" w:hAnsi="Arial Narrow" w:cs="Arial"/>
          <w:sz w:val="20"/>
          <w:szCs w:val="20"/>
          <w:lang w:val="en-GB"/>
        </w:rPr>
        <w:t xml:space="preserve"> product group include electronic student ID cards at various levels of education (secondary, tertiary, postgrad) with campus functions </w:t>
      </w:r>
      <w:proofErr w:type="spellStart"/>
      <w:r w:rsidRPr="00EA2734">
        <w:rPr>
          <w:rFonts w:ascii="Arial Narrow" w:hAnsi="Arial Narrow" w:cs="Arial"/>
          <w:sz w:val="20"/>
          <w:szCs w:val="20"/>
          <w:lang w:val="en-GB"/>
        </w:rPr>
        <w:t>i.a</w:t>
      </w:r>
      <w:proofErr w:type="spellEnd"/>
      <w:r w:rsidRPr="00EA2734">
        <w:rPr>
          <w:rFonts w:ascii="Arial Narrow" w:hAnsi="Arial Narrow" w:cs="Arial"/>
          <w:sz w:val="20"/>
          <w:szCs w:val="20"/>
          <w:lang w:val="en-GB"/>
        </w:rPr>
        <w:t>. access control, logon to computer labs, digital signature (PKI), handling micropayments, printing self-service, library ID, questionnaire and exam functions.</w:t>
      </w:r>
    </w:p>
    <w:p w14:paraId="2B550377" w14:textId="53D4852E" w:rsidR="001762B4" w:rsidRPr="00EA2734" w:rsidRDefault="00421975" w:rsidP="00421975">
      <w:pPr>
        <w:jc w:val="both"/>
        <w:rPr>
          <w:rFonts w:ascii="Arial Narrow" w:hAnsi="Arial Narrow" w:cs="Arial"/>
          <w:sz w:val="20"/>
          <w:szCs w:val="20"/>
          <w:lang w:val="en-GB"/>
        </w:rPr>
      </w:pPr>
      <w:r w:rsidRPr="00EA2734">
        <w:rPr>
          <w:rFonts w:ascii="Arial Narrow" w:hAnsi="Arial Narrow" w:cs="Arial"/>
          <w:sz w:val="20"/>
          <w:szCs w:val="20"/>
          <w:lang w:val="en-GB"/>
        </w:rPr>
        <w:t>These systems handle all the stages in the life of a smart card identifying a student and, with extra functions, facilitate university/school life.</w:t>
      </w:r>
    </w:p>
    <w:p w14:paraId="0ED7634A" w14:textId="77777777" w:rsidR="002A6C67" w:rsidRPr="00EA2734" w:rsidRDefault="002A6C67" w:rsidP="002A6C67">
      <w:pPr>
        <w:jc w:val="both"/>
        <w:rPr>
          <w:rFonts w:ascii="Arial Narrow" w:hAnsi="Arial Narrow" w:cs="Arial"/>
          <w:sz w:val="20"/>
          <w:szCs w:val="20"/>
          <w:lang w:val="en-GB"/>
        </w:rPr>
      </w:pPr>
    </w:p>
    <w:p w14:paraId="7772BBE0" w14:textId="043B31C1" w:rsidR="001762B4" w:rsidRPr="00EA2734" w:rsidRDefault="001762B4" w:rsidP="002A6C67">
      <w:pPr>
        <w:jc w:val="both"/>
        <w:rPr>
          <w:rFonts w:ascii="Arial Narrow" w:hAnsi="Arial Narrow" w:cs="Arial"/>
          <w:sz w:val="20"/>
          <w:szCs w:val="20"/>
          <w:lang w:val="en-GB"/>
        </w:rPr>
      </w:pPr>
      <w:proofErr w:type="spellStart"/>
      <w:r w:rsidRPr="00EA2734">
        <w:rPr>
          <w:rFonts w:ascii="Arial Narrow" w:hAnsi="Arial Narrow" w:cs="Arial"/>
          <w:b/>
          <w:sz w:val="20"/>
          <w:szCs w:val="20"/>
          <w:lang w:val="en-GB"/>
        </w:rPr>
        <w:t>OPTiPASS</w:t>
      </w:r>
      <w:proofErr w:type="spellEnd"/>
      <w:r w:rsidRPr="00EA2734">
        <w:rPr>
          <w:rFonts w:ascii="Arial Narrow" w:hAnsi="Arial Narrow" w:cs="Arial"/>
          <w:sz w:val="20"/>
          <w:szCs w:val="20"/>
          <w:lang w:val="en-GB"/>
        </w:rPr>
        <w:t xml:space="preserve"> –</w:t>
      </w:r>
      <w:r w:rsidR="00725A07" w:rsidRPr="00EA2734">
        <w:rPr>
          <w:rFonts w:ascii="Arial Narrow" w:hAnsi="Arial Narrow" w:cs="Arial"/>
          <w:sz w:val="20"/>
          <w:szCs w:val="20"/>
          <w:lang w:val="en-GB"/>
        </w:rPr>
        <w:t xml:space="preserve"> </w:t>
      </w:r>
      <w:r w:rsidR="00ED58DF" w:rsidRPr="00EA2734">
        <w:rPr>
          <w:rFonts w:ascii="Arial Narrow" w:hAnsi="Arial Narrow" w:cs="Arial"/>
          <w:sz w:val="20"/>
          <w:szCs w:val="20"/>
          <w:lang w:val="en-GB"/>
        </w:rPr>
        <w:t>electronic corporate card system.</w:t>
      </w:r>
    </w:p>
    <w:p w14:paraId="079E83CE" w14:textId="6DF07B6C" w:rsidR="001762B4" w:rsidRPr="00EA2734" w:rsidRDefault="00ED58DF" w:rsidP="002A6C67">
      <w:pPr>
        <w:jc w:val="both"/>
        <w:rPr>
          <w:rFonts w:ascii="Arial Narrow" w:hAnsi="Arial Narrow" w:cs="Arial"/>
          <w:sz w:val="20"/>
          <w:szCs w:val="20"/>
          <w:lang w:val="en-GB"/>
        </w:rPr>
      </w:pPr>
      <w:r w:rsidRPr="00EA2734">
        <w:rPr>
          <w:rFonts w:ascii="Arial Narrow" w:hAnsi="Arial Narrow" w:cs="Arial"/>
          <w:sz w:val="20"/>
          <w:szCs w:val="20"/>
          <w:lang w:val="en-GB"/>
        </w:rPr>
        <w:t>In this system the employee smart card plays many functions according to rights assigned in the organisation’s structure. Performed functions: access control, recording work attendance, reception services, digital signature (PKI, SSO), printing/copying devices accountability, handling micropayments and other.</w:t>
      </w:r>
    </w:p>
    <w:p w14:paraId="7808D9C8" w14:textId="77777777" w:rsidR="002A6C67" w:rsidRPr="00EA2734" w:rsidRDefault="002A6C67" w:rsidP="002A6C67">
      <w:pPr>
        <w:jc w:val="both"/>
        <w:rPr>
          <w:rFonts w:ascii="Arial Narrow" w:hAnsi="Arial Narrow" w:cs="Arial"/>
          <w:sz w:val="20"/>
          <w:szCs w:val="20"/>
          <w:lang w:val="en-GB"/>
        </w:rPr>
      </w:pPr>
    </w:p>
    <w:p w14:paraId="67331A06" w14:textId="69E430C8" w:rsidR="001762B4" w:rsidRPr="00EA2734" w:rsidRDefault="001762B4" w:rsidP="002A6C67">
      <w:pPr>
        <w:jc w:val="both"/>
        <w:rPr>
          <w:rFonts w:ascii="Arial Narrow" w:hAnsi="Arial Narrow" w:cs="Arial"/>
          <w:sz w:val="20"/>
          <w:szCs w:val="20"/>
          <w:lang w:val="en-GB"/>
        </w:rPr>
      </w:pPr>
      <w:proofErr w:type="spellStart"/>
      <w:r w:rsidRPr="00EA2734">
        <w:rPr>
          <w:rFonts w:ascii="Arial Narrow" w:hAnsi="Arial Narrow" w:cs="Arial"/>
          <w:b/>
          <w:sz w:val="20"/>
          <w:szCs w:val="20"/>
          <w:lang w:val="en-GB"/>
        </w:rPr>
        <w:t>OPTiRCM</w:t>
      </w:r>
      <w:proofErr w:type="spellEnd"/>
      <w:r w:rsidRPr="00EA2734">
        <w:rPr>
          <w:rFonts w:ascii="Arial Narrow" w:hAnsi="Arial Narrow" w:cs="Arial"/>
          <w:b/>
          <w:sz w:val="20"/>
          <w:szCs w:val="20"/>
          <w:lang w:val="en-GB"/>
        </w:rPr>
        <w:t xml:space="preserve"> </w:t>
      </w:r>
      <w:r w:rsidR="00175DEA" w:rsidRPr="00EA2734">
        <w:rPr>
          <w:rFonts w:ascii="Arial Narrow" w:hAnsi="Arial Narrow" w:cs="Arial"/>
          <w:sz w:val="20"/>
          <w:szCs w:val="20"/>
          <w:lang w:val="en-GB"/>
        </w:rPr>
        <w:t xml:space="preserve"> (Records and Case M</w:t>
      </w:r>
      <w:r w:rsidRPr="00EA2734">
        <w:rPr>
          <w:rFonts w:ascii="Arial Narrow" w:hAnsi="Arial Narrow" w:cs="Arial"/>
          <w:sz w:val="20"/>
          <w:szCs w:val="20"/>
          <w:lang w:val="en-GB"/>
        </w:rPr>
        <w:t xml:space="preserve">anagement) - </w:t>
      </w:r>
      <w:r w:rsidR="00725A07" w:rsidRPr="00EA2734">
        <w:rPr>
          <w:rFonts w:ascii="Arial Narrow" w:hAnsi="Arial Narrow" w:cs="Arial"/>
          <w:sz w:val="20"/>
          <w:szCs w:val="20"/>
          <w:lang w:val="en-GB"/>
        </w:rPr>
        <w:t xml:space="preserve"> </w:t>
      </w:r>
      <w:r w:rsidR="00175DEA" w:rsidRPr="00EA2734">
        <w:rPr>
          <w:rFonts w:ascii="Arial Narrow" w:hAnsi="Arial Narrow" w:cs="Arial"/>
          <w:sz w:val="20"/>
          <w:szCs w:val="20"/>
          <w:lang w:val="en-GB"/>
        </w:rPr>
        <w:t xml:space="preserve">tools   for   optimising   administrative   processes   in  an organisation. They include document management (incl. registers of invoices, contracts, offices), solutions for secure document storage and archiving.  </w:t>
      </w:r>
      <w:proofErr w:type="spellStart"/>
      <w:r w:rsidR="00175DEA" w:rsidRPr="00EA2734">
        <w:rPr>
          <w:rFonts w:ascii="Arial Narrow" w:hAnsi="Arial Narrow" w:cs="Arial"/>
          <w:sz w:val="20"/>
          <w:szCs w:val="20"/>
          <w:lang w:val="en-GB"/>
        </w:rPr>
        <w:t>OPTiRCM</w:t>
      </w:r>
      <w:proofErr w:type="spellEnd"/>
      <w:r w:rsidR="00175DEA" w:rsidRPr="00EA2734">
        <w:rPr>
          <w:rFonts w:ascii="Arial Narrow" w:hAnsi="Arial Narrow" w:cs="Arial"/>
          <w:sz w:val="20"/>
          <w:szCs w:val="20"/>
          <w:lang w:val="en-GB"/>
        </w:rPr>
        <w:t xml:space="preserve"> may be integrated with ERP-class systems, including SAP.</w:t>
      </w:r>
    </w:p>
    <w:p w14:paraId="2513AAFE" w14:textId="72305AB2" w:rsidR="001762B4" w:rsidRPr="00EA2734" w:rsidRDefault="001762B4" w:rsidP="00175DEA">
      <w:pPr>
        <w:jc w:val="both"/>
        <w:rPr>
          <w:rFonts w:ascii="Arial Narrow" w:hAnsi="Arial Narrow" w:cs="Arial"/>
          <w:sz w:val="20"/>
          <w:szCs w:val="20"/>
          <w:lang w:val="en-GB"/>
        </w:rPr>
      </w:pPr>
      <w:proofErr w:type="spellStart"/>
      <w:r w:rsidRPr="00EA2734">
        <w:rPr>
          <w:rFonts w:ascii="Arial Narrow" w:hAnsi="Arial Narrow" w:cs="Arial"/>
          <w:b/>
          <w:sz w:val="20"/>
          <w:szCs w:val="20"/>
          <w:lang w:val="en-GB"/>
        </w:rPr>
        <w:t>OPTiCOMMERCE</w:t>
      </w:r>
      <w:proofErr w:type="spellEnd"/>
      <w:r w:rsidRPr="00EA2734">
        <w:rPr>
          <w:rFonts w:ascii="Arial Narrow" w:hAnsi="Arial Narrow" w:cs="Arial"/>
          <w:sz w:val="20"/>
          <w:szCs w:val="20"/>
          <w:lang w:val="en-GB"/>
        </w:rPr>
        <w:t xml:space="preserve">  - </w:t>
      </w:r>
      <w:r w:rsidR="00175DEA" w:rsidRPr="00EA2734">
        <w:rPr>
          <w:rFonts w:ascii="Arial Narrow" w:hAnsi="Arial Narrow" w:cs="Arial"/>
          <w:sz w:val="20"/>
          <w:szCs w:val="20"/>
          <w:lang w:val="en-GB"/>
        </w:rPr>
        <w:t xml:space="preserve">a B2C solution, sold in the SaaS model (Software as a Service). </w:t>
      </w:r>
      <w:proofErr w:type="spellStart"/>
      <w:r w:rsidR="00175DEA" w:rsidRPr="00EA2734">
        <w:rPr>
          <w:rFonts w:ascii="Arial Narrow" w:hAnsi="Arial Narrow" w:cs="Arial"/>
          <w:sz w:val="20"/>
          <w:szCs w:val="20"/>
          <w:lang w:val="en-GB"/>
        </w:rPr>
        <w:t>OPTiCOMMERCE</w:t>
      </w:r>
      <w:proofErr w:type="spellEnd"/>
      <w:r w:rsidR="00175DEA" w:rsidRPr="00EA2734">
        <w:rPr>
          <w:rFonts w:ascii="Arial Narrow" w:hAnsi="Arial Narrow" w:cs="Arial"/>
          <w:sz w:val="20"/>
          <w:szCs w:val="20"/>
          <w:lang w:val="en-GB"/>
        </w:rPr>
        <w:t xml:space="preserve"> enables the user to organise and run a large, advanced online store – product, order and warehouse management, with comprehensive logistics and customer relations. System is compatible with ERP systems, including SAP, </w:t>
      </w:r>
      <w:proofErr w:type="spellStart"/>
      <w:r w:rsidR="00175DEA" w:rsidRPr="00EA2734">
        <w:rPr>
          <w:rFonts w:ascii="Arial Narrow" w:hAnsi="Arial Narrow" w:cs="Arial"/>
          <w:sz w:val="20"/>
          <w:szCs w:val="20"/>
          <w:lang w:val="en-GB"/>
        </w:rPr>
        <w:t>Comarch</w:t>
      </w:r>
      <w:proofErr w:type="spellEnd"/>
      <w:r w:rsidR="00175DEA" w:rsidRPr="00EA2734">
        <w:rPr>
          <w:rFonts w:ascii="Arial Narrow" w:hAnsi="Arial Narrow" w:cs="Arial"/>
          <w:sz w:val="20"/>
          <w:szCs w:val="20"/>
          <w:lang w:val="en-GB"/>
        </w:rPr>
        <w:t xml:space="preserve"> CDN XL, </w:t>
      </w:r>
      <w:proofErr w:type="spellStart"/>
      <w:r w:rsidR="00175DEA" w:rsidRPr="00EA2734">
        <w:rPr>
          <w:rFonts w:ascii="Arial Narrow" w:hAnsi="Arial Narrow" w:cs="Arial"/>
          <w:sz w:val="20"/>
          <w:szCs w:val="20"/>
          <w:lang w:val="en-GB"/>
        </w:rPr>
        <w:t>Comarch</w:t>
      </w:r>
      <w:proofErr w:type="spellEnd"/>
      <w:r w:rsidR="00175DEA" w:rsidRPr="00EA2734">
        <w:rPr>
          <w:rFonts w:ascii="Arial Narrow" w:hAnsi="Arial Narrow" w:cs="Arial"/>
          <w:sz w:val="20"/>
          <w:szCs w:val="20"/>
          <w:lang w:val="en-GB"/>
        </w:rPr>
        <w:t xml:space="preserve"> </w:t>
      </w:r>
      <w:proofErr w:type="spellStart"/>
      <w:r w:rsidR="00175DEA" w:rsidRPr="00EA2734">
        <w:rPr>
          <w:rFonts w:ascii="Arial Narrow" w:hAnsi="Arial Narrow" w:cs="Arial"/>
          <w:sz w:val="20"/>
          <w:szCs w:val="20"/>
          <w:lang w:val="en-GB"/>
        </w:rPr>
        <w:t>Altum</w:t>
      </w:r>
      <w:proofErr w:type="spellEnd"/>
      <w:r w:rsidR="00175DEA" w:rsidRPr="00EA2734">
        <w:rPr>
          <w:rFonts w:ascii="Arial Narrow" w:hAnsi="Arial Narrow" w:cs="Arial"/>
          <w:sz w:val="20"/>
          <w:szCs w:val="20"/>
          <w:lang w:val="en-GB"/>
        </w:rPr>
        <w:t>.</w:t>
      </w:r>
    </w:p>
    <w:p w14:paraId="44144A09" w14:textId="77777777" w:rsidR="00725A07" w:rsidRPr="00EA2734" w:rsidRDefault="00725A07" w:rsidP="00175DEA">
      <w:pPr>
        <w:jc w:val="both"/>
        <w:rPr>
          <w:rFonts w:ascii="Arial Narrow" w:hAnsi="Arial Narrow" w:cs="Arial"/>
          <w:b/>
          <w:sz w:val="20"/>
          <w:szCs w:val="20"/>
          <w:lang w:val="en-GB"/>
        </w:rPr>
      </w:pPr>
    </w:p>
    <w:p w14:paraId="7E93A0CB" w14:textId="59692059" w:rsidR="001762B4" w:rsidRPr="00EA2734" w:rsidRDefault="00175DEA" w:rsidP="001762B4">
      <w:pPr>
        <w:widowControl w:val="0"/>
        <w:autoSpaceDE w:val="0"/>
        <w:autoSpaceDN w:val="0"/>
        <w:adjustRightInd w:val="0"/>
        <w:spacing w:after="120" w:line="360" w:lineRule="auto"/>
        <w:jc w:val="both"/>
        <w:rPr>
          <w:rFonts w:ascii="Arial Narrow" w:hAnsi="Arial Narrow" w:cs="Arial"/>
          <w:b/>
          <w:sz w:val="20"/>
          <w:szCs w:val="20"/>
          <w:lang w:val="en-GB"/>
        </w:rPr>
      </w:pPr>
      <w:r w:rsidRPr="00EA2734">
        <w:rPr>
          <w:rFonts w:ascii="Arial Narrow" w:hAnsi="Arial Narrow" w:cs="Arial"/>
          <w:b/>
          <w:sz w:val="20"/>
          <w:szCs w:val="20"/>
          <w:lang w:val="en-GB"/>
        </w:rPr>
        <w:t>ERP industry solutions</w:t>
      </w:r>
    </w:p>
    <w:p w14:paraId="008C99BD" w14:textId="310AD172" w:rsidR="001762B4" w:rsidRPr="00EA2734" w:rsidRDefault="00175DEA" w:rsidP="002A6C67">
      <w:pPr>
        <w:jc w:val="both"/>
        <w:rPr>
          <w:rFonts w:ascii="Arial Narrow" w:hAnsi="Arial Narrow" w:cs="Arial"/>
          <w:sz w:val="20"/>
          <w:szCs w:val="20"/>
          <w:lang w:val="en-GB"/>
        </w:rPr>
      </w:pPr>
      <w:r w:rsidRPr="00EA2734">
        <w:rPr>
          <w:rFonts w:ascii="Arial Narrow" w:hAnsi="Arial Narrow" w:cs="Arial"/>
          <w:sz w:val="20"/>
          <w:szCs w:val="20"/>
          <w:lang w:val="en-GB"/>
        </w:rPr>
        <w:t>This product group includes proprietary systems providing extra functionalities to the ERP systems implemented by the Issuer:</w:t>
      </w:r>
    </w:p>
    <w:p w14:paraId="0697CDF0" w14:textId="77777777" w:rsidR="002A6C67" w:rsidRPr="00EA2734" w:rsidRDefault="002A6C67" w:rsidP="002A6C67">
      <w:pPr>
        <w:jc w:val="both"/>
        <w:rPr>
          <w:rFonts w:ascii="Arial Narrow" w:hAnsi="Arial Narrow" w:cs="Arial"/>
          <w:sz w:val="20"/>
          <w:szCs w:val="20"/>
          <w:lang w:val="en-GB"/>
        </w:rPr>
      </w:pPr>
    </w:p>
    <w:p w14:paraId="2CF2A33B" w14:textId="0711D776" w:rsidR="001762B4" w:rsidRPr="00EA2734" w:rsidRDefault="001762B4" w:rsidP="002A6C67">
      <w:pPr>
        <w:jc w:val="both"/>
        <w:rPr>
          <w:rFonts w:ascii="Arial Narrow" w:hAnsi="Arial Narrow" w:cs="Arial"/>
          <w:sz w:val="20"/>
          <w:szCs w:val="20"/>
          <w:lang w:val="en-GB"/>
        </w:rPr>
      </w:pPr>
      <w:r w:rsidRPr="00EA2734">
        <w:rPr>
          <w:rFonts w:ascii="Arial Narrow" w:hAnsi="Arial Narrow" w:cs="Arial"/>
          <w:sz w:val="20"/>
          <w:szCs w:val="20"/>
          <w:lang w:val="en-GB"/>
        </w:rPr>
        <w:t xml:space="preserve">-  </w:t>
      </w:r>
      <w:r w:rsidR="00175DEA" w:rsidRPr="00EA2734">
        <w:rPr>
          <w:rFonts w:ascii="Arial Narrow" w:hAnsi="Arial Narrow" w:cs="Arial"/>
          <w:sz w:val="20"/>
          <w:szCs w:val="20"/>
          <w:lang w:val="en-GB"/>
        </w:rPr>
        <w:t xml:space="preserve">construction project management – </w:t>
      </w:r>
      <w:proofErr w:type="spellStart"/>
      <w:r w:rsidR="00175DEA" w:rsidRPr="00EA2734">
        <w:rPr>
          <w:rFonts w:ascii="Arial Narrow" w:hAnsi="Arial Narrow" w:cs="Arial"/>
          <w:sz w:val="20"/>
          <w:szCs w:val="20"/>
          <w:lang w:val="en-GB"/>
        </w:rPr>
        <w:t>OPTibudowa</w:t>
      </w:r>
      <w:proofErr w:type="spellEnd"/>
    </w:p>
    <w:p w14:paraId="736CD16B" w14:textId="1A5AFFE9" w:rsidR="001762B4" w:rsidRPr="00EA2734" w:rsidRDefault="00175DEA" w:rsidP="002A6C67">
      <w:pPr>
        <w:jc w:val="both"/>
        <w:rPr>
          <w:rFonts w:ascii="Arial Narrow" w:hAnsi="Arial Narrow" w:cs="Arial"/>
          <w:sz w:val="20"/>
          <w:szCs w:val="20"/>
          <w:lang w:val="en-GB"/>
        </w:rPr>
      </w:pPr>
      <w:r w:rsidRPr="00EA2734">
        <w:rPr>
          <w:rFonts w:ascii="Arial Narrow" w:hAnsi="Arial Narrow" w:cs="Arial"/>
          <w:sz w:val="20"/>
          <w:szCs w:val="20"/>
          <w:lang w:val="en-GB"/>
        </w:rPr>
        <w:t xml:space="preserve">The functionalities of </w:t>
      </w:r>
      <w:proofErr w:type="spellStart"/>
      <w:r w:rsidRPr="00EA2734">
        <w:rPr>
          <w:rFonts w:ascii="Arial Narrow" w:hAnsi="Arial Narrow" w:cs="Arial"/>
          <w:sz w:val="20"/>
          <w:szCs w:val="20"/>
          <w:lang w:val="en-GB"/>
        </w:rPr>
        <w:t>OPTibudowa</w:t>
      </w:r>
      <w:proofErr w:type="spellEnd"/>
      <w:r w:rsidRPr="00EA2734">
        <w:rPr>
          <w:rFonts w:ascii="Arial Narrow" w:hAnsi="Arial Narrow" w:cs="Arial"/>
          <w:sz w:val="20"/>
          <w:szCs w:val="20"/>
          <w:lang w:val="en-GB"/>
        </w:rPr>
        <w:t xml:space="preserve"> include: bid and tender management, negotiation management, cost estimation, work scheduling, document filing, equipment and transport base management, progress tracking for consistence of the construction process with the cost estimates by project manager, recording work attendance and resources at building sites up to completing final project accounts</w:t>
      </w:r>
    </w:p>
    <w:p w14:paraId="08C42278" w14:textId="77777777" w:rsidR="002A6C67" w:rsidRPr="00EA2734" w:rsidRDefault="002A6C67" w:rsidP="002A6C67">
      <w:pPr>
        <w:jc w:val="both"/>
        <w:rPr>
          <w:rFonts w:ascii="Arial Narrow" w:hAnsi="Arial Narrow" w:cs="Arial"/>
          <w:sz w:val="20"/>
          <w:szCs w:val="20"/>
          <w:lang w:val="en-GB"/>
        </w:rPr>
      </w:pPr>
    </w:p>
    <w:p w14:paraId="30AAEA0C" w14:textId="301843E5" w:rsidR="001762B4" w:rsidRPr="00EA2734" w:rsidRDefault="001762B4" w:rsidP="002A6C67">
      <w:pPr>
        <w:jc w:val="both"/>
        <w:rPr>
          <w:rFonts w:ascii="Arial Narrow" w:hAnsi="Arial Narrow" w:cs="Arial"/>
          <w:sz w:val="20"/>
          <w:szCs w:val="20"/>
          <w:lang w:val="en-GB"/>
        </w:rPr>
      </w:pPr>
      <w:r w:rsidRPr="00EA2734">
        <w:rPr>
          <w:rFonts w:ascii="Arial Narrow" w:hAnsi="Arial Narrow" w:cs="Arial"/>
          <w:sz w:val="20"/>
          <w:szCs w:val="20"/>
          <w:lang w:val="en-GB"/>
        </w:rPr>
        <w:t xml:space="preserve">-  </w:t>
      </w:r>
      <w:r w:rsidR="00175DEA" w:rsidRPr="00EA2734">
        <w:rPr>
          <w:rFonts w:ascii="Arial Narrow" w:hAnsi="Arial Narrow" w:cs="Arial"/>
          <w:sz w:val="20"/>
          <w:szCs w:val="20"/>
          <w:lang w:val="en-GB"/>
        </w:rPr>
        <w:t xml:space="preserve">manufacturing process management – </w:t>
      </w:r>
      <w:proofErr w:type="spellStart"/>
      <w:r w:rsidR="00175DEA" w:rsidRPr="00EA2734">
        <w:rPr>
          <w:rFonts w:ascii="Arial Narrow" w:hAnsi="Arial Narrow" w:cs="Arial"/>
          <w:sz w:val="20"/>
          <w:szCs w:val="20"/>
          <w:lang w:val="en-GB"/>
        </w:rPr>
        <w:t>OPTiprodukcja</w:t>
      </w:r>
      <w:proofErr w:type="spellEnd"/>
      <w:r w:rsidR="00175DEA" w:rsidRPr="00EA2734">
        <w:rPr>
          <w:rFonts w:ascii="Arial Narrow" w:hAnsi="Arial Narrow" w:cs="Arial"/>
          <w:sz w:val="20"/>
          <w:szCs w:val="20"/>
          <w:lang w:val="en-GB"/>
        </w:rPr>
        <w:t>.</w:t>
      </w:r>
    </w:p>
    <w:p w14:paraId="27E1AD72" w14:textId="2DF16F26" w:rsidR="001762B4" w:rsidRPr="00EA2734" w:rsidRDefault="00175DEA" w:rsidP="002A6C67">
      <w:pPr>
        <w:jc w:val="both"/>
        <w:rPr>
          <w:rFonts w:ascii="Arial Narrow" w:hAnsi="Arial Narrow" w:cs="Arial"/>
          <w:sz w:val="20"/>
          <w:szCs w:val="20"/>
          <w:lang w:val="en-GB"/>
        </w:rPr>
      </w:pPr>
      <w:r w:rsidRPr="00EA2734">
        <w:rPr>
          <w:rFonts w:ascii="Arial Narrow" w:hAnsi="Arial Narrow" w:cs="Arial"/>
          <w:sz w:val="20"/>
          <w:szCs w:val="20"/>
          <w:lang w:val="en-GB"/>
        </w:rPr>
        <w:t>The system supports manufacturing processes in enterprises using bar code technology at every stage of the manufacturing process. The application comprises: Technology Generator, Manufacturing Execution and Total Production Cost Calculator.</w:t>
      </w:r>
    </w:p>
    <w:p w14:paraId="6E5977B1" w14:textId="77777777" w:rsidR="002A6C67" w:rsidRPr="00EA2734" w:rsidRDefault="002A6C67" w:rsidP="002A6C67">
      <w:pPr>
        <w:jc w:val="both"/>
        <w:rPr>
          <w:rFonts w:ascii="Arial Narrow" w:hAnsi="Arial Narrow" w:cs="Arial"/>
          <w:sz w:val="20"/>
          <w:szCs w:val="20"/>
          <w:lang w:val="en-GB"/>
        </w:rPr>
      </w:pPr>
    </w:p>
    <w:p w14:paraId="421F8C79" w14:textId="2C55AE14" w:rsidR="002A6C67" w:rsidRPr="00EA2734" w:rsidRDefault="001762B4" w:rsidP="002A6C67">
      <w:pPr>
        <w:jc w:val="both"/>
        <w:rPr>
          <w:rFonts w:ascii="Arial Narrow" w:hAnsi="Arial Narrow" w:cs="Arial"/>
          <w:sz w:val="20"/>
          <w:szCs w:val="20"/>
          <w:lang w:val="en-GB"/>
        </w:rPr>
      </w:pPr>
      <w:r w:rsidRPr="00EA2734">
        <w:rPr>
          <w:rFonts w:ascii="Arial Narrow" w:hAnsi="Arial Narrow" w:cs="Arial"/>
          <w:sz w:val="20"/>
          <w:szCs w:val="20"/>
          <w:lang w:val="en-GB"/>
        </w:rPr>
        <w:t xml:space="preserve">- </w:t>
      </w:r>
      <w:r w:rsidR="007B0576" w:rsidRPr="00EA2734">
        <w:rPr>
          <w:rFonts w:ascii="Arial Narrow" w:hAnsi="Arial Narrow" w:cs="Arial"/>
          <w:sz w:val="20"/>
          <w:szCs w:val="20"/>
          <w:lang w:val="en-GB"/>
        </w:rPr>
        <w:t xml:space="preserve">HR and payroll process management (HR </w:t>
      </w:r>
      <w:proofErr w:type="spellStart"/>
      <w:r w:rsidR="007B0576" w:rsidRPr="00EA2734">
        <w:rPr>
          <w:rFonts w:ascii="Arial Narrow" w:hAnsi="Arial Narrow" w:cs="Arial"/>
          <w:sz w:val="20"/>
          <w:szCs w:val="20"/>
          <w:lang w:val="en-GB"/>
        </w:rPr>
        <w:t>OPTiCenter</w:t>
      </w:r>
      <w:proofErr w:type="spellEnd"/>
      <w:r w:rsidR="007B0576" w:rsidRPr="00EA2734">
        <w:rPr>
          <w:rFonts w:ascii="Arial Narrow" w:hAnsi="Arial Narrow" w:cs="Arial"/>
          <w:sz w:val="20"/>
          <w:szCs w:val="20"/>
          <w:lang w:val="en-GB"/>
        </w:rPr>
        <w:t>, HR BPO) – a solution dedicated for business sector, software for handling HR and payroll processes in outsourcing model – it includes sector’s areas</w:t>
      </w:r>
    </w:p>
    <w:p w14:paraId="396A8C4A" w14:textId="77777777" w:rsidR="002A6C67" w:rsidRPr="00EA2734" w:rsidRDefault="002A6C67" w:rsidP="002A6C67">
      <w:pPr>
        <w:jc w:val="both"/>
        <w:rPr>
          <w:rFonts w:ascii="Arial Narrow" w:hAnsi="Arial Narrow" w:cs="Arial"/>
          <w:sz w:val="20"/>
          <w:szCs w:val="20"/>
          <w:lang w:val="en-GB"/>
        </w:rPr>
      </w:pPr>
    </w:p>
    <w:p w14:paraId="17C7B526" w14:textId="06CCA125" w:rsidR="001762B4" w:rsidRPr="00EA2734" w:rsidRDefault="002A6C67" w:rsidP="002A6C67">
      <w:pPr>
        <w:jc w:val="both"/>
        <w:rPr>
          <w:rFonts w:ascii="Arial Narrow" w:hAnsi="Arial Narrow" w:cs="Arial"/>
          <w:sz w:val="20"/>
          <w:szCs w:val="20"/>
          <w:lang w:val="en-GB"/>
        </w:rPr>
      </w:pPr>
      <w:r w:rsidRPr="00EA2734">
        <w:rPr>
          <w:rFonts w:ascii="Arial Narrow" w:hAnsi="Arial Narrow" w:cs="Arial"/>
          <w:sz w:val="20"/>
          <w:szCs w:val="20"/>
          <w:lang w:val="en-GB"/>
        </w:rPr>
        <w:t xml:space="preserve">- </w:t>
      </w:r>
      <w:r w:rsidR="007B0576" w:rsidRPr="00EA2734">
        <w:rPr>
          <w:rFonts w:ascii="Arial Narrow" w:hAnsi="Arial Narrow" w:cs="Arial"/>
          <w:sz w:val="20"/>
          <w:szCs w:val="20"/>
          <w:lang w:val="en-GB"/>
        </w:rPr>
        <w:t>employees portal, e-files, etc. It constitutes a comprehensive offer for medium and large enterprises sector – as an alternative to substantial cost reduction in HR area in the company.</w:t>
      </w:r>
    </w:p>
    <w:p w14:paraId="637D3843" w14:textId="77777777" w:rsidR="001762B4" w:rsidRPr="00EA2734" w:rsidRDefault="001762B4" w:rsidP="001762B4">
      <w:pPr>
        <w:widowControl w:val="0"/>
        <w:autoSpaceDE w:val="0"/>
        <w:autoSpaceDN w:val="0"/>
        <w:adjustRightInd w:val="0"/>
        <w:spacing w:after="120" w:line="360" w:lineRule="auto"/>
        <w:jc w:val="both"/>
        <w:rPr>
          <w:rFonts w:ascii="Arial Narrow" w:hAnsi="Arial Narrow" w:cs="Arial"/>
          <w:sz w:val="20"/>
          <w:szCs w:val="20"/>
          <w:lang w:val="en-GB"/>
        </w:rPr>
      </w:pPr>
    </w:p>
    <w:p w14:paraId="55E44ACA" w14:textId="22DB1195" w:rsidR="001762B4" w:rsidRPr="00EA2734" w:rsidRDefault="007B0576" w:rsidP="001762B4">
      <w:pPr>
        <w:widowControl w:val="0"/>
        <w:autoSpaceDE w:val="0"/>
        <w:autoSpaceDN w:val="0"/>
        <w:adjustRightInd w:val="0"/>
        <w:spacing w:after="120" w:line="360" w:lineRule="auto"/>
        <w:jc w:val="both"/>
        <w:rPr>
          <w:rFonts w:ascii="Arial Narrow" w:hAnsi="Arial Narrow" w:cs="Arial"/>
          <w:b/>
          <w:sz w:val="20"/>
          <w:szCs w:val="20"/>
          <w:lang w:val="en-GB"/>
        </w:rPr>
      </w:pPr>
      <w:r w:rsidRPr="00EA2734">
        <w:rPr>
          <w:rFonts w:ascii="Arial Narrow" w:hAnsi="Arial Narrow" w:cs="Arial"/>
          <w:b/>
          <w:sz w:val="20"/>
          <w:szCs w:val="20"/>
          <w:lang w:val="en-GB"/>
        </w:rPr>
        <w:t>Integration &amp; implementation services</w:t>
      </w:r>
    </w:p>
    <w:p w14:paraId="126A6BAC" w14:textId="493E42C4" w:rsidR="001762B4" w:rsidRPr="00EA2734" w:rsidRDefault="007B0576" w:rsidP="007B0576">
      <w:pPr>
        <w:jc w:val="both"/>
        <w:rPr>
          <w:rFonts w:ascii="Arial Narrow" w:hAnsi="Arial Narrow" w:cs="Arial"/>
          <w:sz w:val="20"/>
          <w:szCs w:val="20"/>
          <w:lang w:val="en-GB"/>
        </w:rPr>
      </w:pPr>
      <w:r w:rsidRPr="00EA2734">
        <w:rPr>
          <w:rFonts w:ascii="Arial Narrow" w:hAnsi="Arial Narrow" w:cs="Arial"/>
          <w:sz w:val="20"/>
          <w:szCs w:val="20"/>
          <w:lang w:val="en-GB"/>
        </w:rPr>
        <w:t>Integration &amp; implementation services include design, development, implementation and maintenance of comprehensive ICT solutions, as well as ICT system management services. Projects executed in this scope apply to the areas of: ICT security (data storage, internet and uninterruptible power supply). This category includes implementation services of third-party systems, including ERP system implementations in business and education sector.</w:t>
      </w:r>
    </w:p>
    <w:p w14:paraId="74943789" w14:textId="77777777" w:rsidR="004D3168" w:rsidRPr="00EA2734" w:rsidRDefault="004D3168" w:rsidP="007B0576">
      <w:pPr>
        <w:jc w:val="both"/>
        <w:rPr>
          <w:rFonts w:ascii="Arial Narrow" w:hAnsi="Arial Narrow" w:cs="Arial"/>
          <w:sz w:val="20"/>
          <w:szCs w:val="20"/>
          <w:lang w:val="en-GB"/>
        </w:rPr>
      </w:pPr>
    </w:p>
    <w:p w14:paraId="17B1700A" w14:textId="752376E8" w:rsidR="001762B4" w:rsidRPr="00EA2734" w:rsidRDefault="007B0576" w:rsidP="001762B4">
      <w:pPr>
        <w:widowControl w:val="0"/>
        <w:autoSpaceDE w:val="0"/>
        <w:autoSpaceDN w:val="0"/>
        <w:adjustRightInd w:val="0"/>
        <w:spacing w:after="120" w:line="360" w:lineRule="auto"/>
        <w:jc w:val="both"/>
        <w:rPr>
          <w:rFonts w:ascii="Arial Narrow" w:hAnsi="Arial Narrow" w:cs="Arial"/>
          <w:b/>
          <w:sz w:val="20"/>
          <w:szCs w:val="20"/>
          <w:lang w:val="en-GB"/>
        </w:rPr>
      </w:pPr>
      <w:r w:rsidRPr="00EA2734">
        <w:rPr>
          <w:rFonts w:ascii="Arial Narrow" w:hAnsi="Arial Narrow" w:cs="Arial"/>
          <w:b/>
          <w:sz w:val="20"/>
          <w:szCs w:val="20"/>
          <w:lang w:val="en-GB"/>
        </w:rPr>
        <w:t>Maintenance &amp; post-sales services – customer retention</w:t>
      </w:r>
    </w:p>
    <w:p w14:paraId="0D23FF36" w14:textId="6C959119" w:rsidR="001762B4" w:rsidRPr="00EA2734" w:rsidRDefault="007B0576" w:rsidP="002A6C67">
      <w:pPr>
        <w:jc w:val="both"/>
        <w:rPr>
          <w:rFonts w:ascii="Arial Narrow" w:hAnsi="Arial Narrow" w:cs="Arial"/>
          <w:sz w:val="20"/>
          <w:szCs w:val="20"/>
          <w:lang w:val="en-GB"/>
        </w:rPr>
      </w:pPr>
      <w:r w:rsidRPr="00EA2734">
        <w:rPr>
          <w:rFonts w:ascii="Arial Narrow" w:hAnsi="Arial Narrow" w:cs="Arial"/>
          <w:sz w:val="20"/>
          <w:szCs w:val="20"/>
          <w:lang w:val="en-GB"/>
        </w:rPr>
        <w:t>The Issuer provides maintenance services to a large group of clients (several hundred entities). Apart from the assistance in systems maintenance (help-desk) updating software and providing IT servicing, this category includes a great variety of additional services as requested by clients and resulting from current usage of the systems.</w:t>
      </w:r>
    </w:p>
    <w:p w14:paraId="39026A59" w14:textId="77777777" w:rsidR="001762B4" w:rsidRPr="00EA2734" w:rsidRDefault="001762B4" w:rsidP="001762B4">
      <w:pPr>
        <w:widowControl w:val="0"/>
        <w:autoSpaceDE w:val="0"/>
        <w:autoSpaceDN w:val="0"/>
        <w:adjustRightInd w:val="0"/>
        <w:spacing w:after="120" w:line="276" w:lineRule="auto"/>
        <w:jc w:val="both"/>
        <w:rPr>
          <w:rFonts w:ascii="Arial Narrow" w:hAnsi="Arial Narrow" w:cs="Arial"/>
          <w:b/>
          <w:sz w:val="20"/>
          <w:szCs w:val="20"/>
          <w:lang w:val="en-GB"/>
        </w:rPr>
      </w:pPr>
    </w:p>
    <w:p w14:paraId="2CB6A6DC" w14:textId="40EC5ECC" w:rsidR="001762B4" w:rsidRPr="00EA2734" w:rsidRDefault="007B0576" w:rsidP="001762B4">
      <w:pPr>
        <w:widowControl w:val="0"/>
        <w:autoSpaceDE w:val="0"/>
        <w:autoSpaceDN w:val="0"/>
        <w:adjustRightInd w:val="0"/>
        <w:spacing w:after="120" w:line="360" w:lineRule="auto"/>
        <w:jc w:val="both"/>
        <w:rPr>
          <w:rFonts w:ascii="Arial Narrow" w:hAnsi="Arial Narrow" w:cs="Arial"/>
          <w:b/>
          <w:sz w:val="20"/>
          <w:szCs w:val="20"/>
          <w:lang w:val="en-GB"/>
        </w:rPr>
      </w:pPr>
      <w:r w:rsidRPr="00EA2734">
        <w:rPr>
          <w:rFonts w:ascii="Arial Narrow" w:hAnsi="Arial Narrow" w:cs="Arial"/>
          <w:b/>
          <w:sz w:val="20"/>
          <w:szCs w:val="20"/>
          <w:lang w:val="en-GB"/>
        </w:rPr>
        <w:t xml:space="preserve">Data </w:t>
      </w:r>
      <w:proofErr w:type="spellStart"/>
      <w:r w:rsidRPr="00EA2734">
        <w:rPr>
          <w:rFonts w:ascii="Arial Narrow" w:hAnsi="Arial Narrow" w:cs="Arial"/>
          <w:b/>
          <w:sz w:val="20"/>
          <w:szCs w:val="20"/>
          <w:lang w:val="en-GB"/>
        </w:rPr>
        <w:t>Center</w:t>
      </w:r>
      <w:proofErr w:type="spellEnd"/>
      <w:r w:rsidRPr="00EA2734">
        <w:rPr>
          <w:rFonts w:ascii="Arial Narrow" w:hAnsi="Arial Narrow" w:cs="Arial"/>
          <w:b/>
          <w:sz w:val="20"/>
          <w:szCs w:val="20"/>
          <w:lang w:val="en-GB"/>
        </w:rPr>
        <w:t xml:space="preserve"> services (</w:t>
      </w:r>
      <w:proofErr w:type="spellStart"/>
      <w:r w:rsidRPr="00EA2734">
        <w:rPr>
          <w:rFonts w:ascii="Arial Narrow" w:hAnsi="Arial Narrow" w:cs="Arial"/>
          <w:b/>
          <w:sz w:val="20"/>
          <w:szCs w:val="20"/>
          <w:lang w:val="en-GB"/>
        </w:rPr>
        <w:t>OPTiCPD</w:t>
      </w:r>
      <w:proofErr w:type="spellEnd"/>
      <w:r w:rsidRPr="00EA2734">
        <w:rPr>
          <w:rFonts w:ascii="Arial Narrow" w:hAnsi="Arial Narrow" w:cs="Arial"/>
          <w:b/>
          <w:sz w:val="20"/>
          <w:szCs w:val="20"/>
          <w:lang w:val="en-GB"/>
        </w:rPr>
        <w:t>)</w:t>
      </w:r>
    </w:p>
    <w:p w14:paraId="762C072E" w14:textId="46FD958B" w:rsidR="001762B4" w:rsidRPr="00EA2734" w:rsidRDefault="007B0576" w:rsidP="002A6C67">
      <w:pPr>
        <w:jc w:val="both"/>
        <w:rPr>
          <w:rFonts w:ascii="Arial Narrow" w:hAnsi="Arial Narrow" w:cs="Arial"/>
          <w:sz w:val="20"/>
          <w:szCs w:val="20"/>
          <w:lang w:val="en-GB"/>
        </w:rPr>
      </w:pPr>
      <w:r w:rsidRPr="00EA2734">
        <w:rPr>
          <w:rFonts w:ascii="Arial Narrow" w:hAnsi="Arial Narrow" w:cs="Arial"/>
          <w:sz w:val="20"/>
          <w:szCs w:val="20"/>
          <w:lang w:val="en-GB"/>
        </w:rPr>
        <w:t>The services provided by the Issuer’s Data Processing Centre include: delivering proprietary products in the SaaS model (Software as a Service), third-party system hosting/colocation, development of backup centres, email services, lease of software in a service model.</w:t>
      </w:r>
    </w:p>
    <w:p w14:paraId="121C77EF" w14:textId="77777777" w:rsidR="001762B4" w:rsidRPr="00EA2734" w:rsidRDefault="001762B4" w:rsidP="001762B4">
      <w:pPr>
        <w:widowControl w:val="0"/>
        <w:autoSpaceDE w:val="0"/>
        <w:autoSpaceDN w:val="0"/>
        <w:adjustRightInd w:val="0"/>
        <w:spacing w:after="120" w:line="276" w:lineRule="auto"/>
        <w:jc w:val="both"/>
        <w:rPr>
          <w:rFonts w:ascii="Arial Narrow" w:hAnsi="Arial Narrow" w:cs="Arial"/>
          <w:b/>
          <w:sz w:val="20"/>
          <w:szCs w:val="20"/>
          <w:lang w:val="en-GB"/>
        </w:rPr>
      </w:pPr>
    </w:p>
    <w:p w14:paraId="6931C7FD" w14:textId="095EE2BF" w:rsidR="001762B4" w:rsidRPr="00EA2734" w:rsidRDefault="007B0576" w:rsidP="002A6C67">
      <w:pPr>
        <w:jc w:val="both"/>
        <w:rPr>
          <w:rFonts w:ascii="Arial Narrow" w:hAnsi="Arial Narrow" w:cs="Arial"/>
          <w:b/>
          <w:sz w:val="20"/>
          <w:szCs w:val="20"/>
          <w:lang w:val="en-GB"/>
        </w:rPr>
      </w:pPr>
      <w:r w:rsidRPr="00EA2734">
        <w:rPr>
          <w:rFonts w:ascii="Arial Narrow" w:hAnsi="Arial Narrow" w:cs="Arial"/>
          <w:b/>
          <w:sz w:val="20"/>
          <w:szCs w:val="20"/>
          <w:lang w:val="en-GB"/>
        </w:rPr>
        <w:t>Training services</w:t>
      </w:r>
    </w:p>
    <w:p w14:paraId="697D4A78" w14:textId="77777777" w:rsidR="002A6C67" w:rsidRPr="00EA2734" w:rsidRDefault="002A6C67" w:rsidP="002A6C67">
      <w:pPr>
        <w:jc w:val="both"/>
        <w:rPr>
          <w:rFonts w:ascii="Arial Narrow" w:hAnsi="Arial Narrow" w:cs="Arial"/>
          <w:b/>
          <w:sz w:val="20"/>
          <w:szCs w:val="20"/>
          <w:lang w:val="en-GB"/>
        </w:rPr>
      </w:pPr>
    </w:p>
    <w:p w14:paraId="35D22FA5" w14:textId="182D666C" w:rsidR="001762B4" w:rsidRPr="00EA2734" w:rsidRDefault="007B0576" w:rsidP="002A6C67">
      <w:pPr>
        <w:jc w:val="both"/>
        <w:rPr>
          <w:rFonts w:ascii="Arial Narrow" w:hAnsi="Arial Narrow" w:cs="Arial"/>
          <w:sz w:val="20"/>
          <w:szCs w:val="20"/>
          <w:lang w:val="en-GB"/>
        </w:rPr>
      </w:pPr>
      <w:r w:rsidRPr="00EA2734">
        <w:rPr>
          <w:rFonts w:ascii="Arial Narrow" w:hAnsi="Arial Narrow" w:cs="Arial"/>
          <w:sz w:val="20"/>
          <w:szCs w:val="20"/>
          <w:lang w:val="en-GB"/>
        </w:rPr>
        <w:t>The Issuer’s training services include trainings provided as part of the integration and implementation projects and those provided by the Issuer’s Training Centre – having the status of Microsoft training centre.</w:t>
      </w:r>
    </w:p>
    <w:p w14:paraId="20BEF715" w14:textId="77777777" w:rsidR="004D3168" w:rsidRPr="00EA2734" w:rsidRDefault="004D3168" w:rsidP="002A6C67">
      <w:pPr>
        <w:jc w:val="both"/>
        <w:rPr>
          <w:rFonts w:ascii="Arial Narrow" w:hAnsi="Arial Narrow" w:cs="Arial"/>
          <w:sz w:val="20"/>
          <w:szCs w:val="20"/>
          <w:lang w:val="en-GB"/>
        </w:rPr>
      </w:pPr>
    </w:p>
    <w:p w14:paraId="08A577A1" w14:textId="59199CCC" w:rsidR="004B2AB9" w:rsidRPr="00EA2734" w:rsidRDefault="007B0576" w:rsidP="0041068C">
      <w:pPr>
        <w:widowControl w:val="0"/>
        <w:numPr>
          <w:ilvl w:val="0"/>
          <w:numId w:val="26"/>
        </w:numPr>
        <w:autoSpaceDE w:val="0"/>
        <w:autoSpaceDN w:val="0"/>
        <w:adjustRightInd w:val="0"/>
        <w:spacing w:after="120" w:line="360" w:lineRule="auto"/>
        <w:ind w:left="284" w:hanging="284"/>
        <w:jc w:val="both"/>
        <w:rPr>
          <w:rFonts w:ascii="Arial Narrow" w:hAnsi="Arial Narrow" w:cs="Arial"/>
          <w:b/>
          <w:sz w:val="20"/>
          <w:szCs w:val="20"/>
          <w:lang w:val="en-GB"/>
        </w:rPr>
      </w:pPr>
      <w:r w:rsidRPr="00EA2734">
        <w:rPr>
          <w:rFonts w:ascii="Arial Narrow" w:hAnsi="Arial Narrow" w:cs="Arial"/>
          <w:b/>
          <w:sz w:val="20"/>
          <w:szCs w:val="20"/>
          <w:lang w:val="en-GB"/>
        </w:rPr>
        <w:t>Related parties of the Issuer.</w:t>
      </w:r>
    </w:p>
    <w:p w14:paraId="4EEB0E5D" w14:textId="77777777" w:rsidR="004B2AB9" w:rsidRPr="00EA2734" w:rsidRDefault="004B2AB9" w:rsidP="002A6C67">
      <w:pPr>
        <w:jc w:val="both"/>
        <w:rPr>
          <w:rFonts w:ascii="Arial Narrow" w:eastAsia="Calibri" w:hAnsi="Arial Narrow"/>
          <w:sz w:val="20"/>
          <w:szCs w:val="20"/>
          <w:lang w:val="en-GB"/>
        </w:rPr>
      </w:pPr>
    </w:p>
    <w:p w14:paraId="2A92EC70" w14:textId="46A1127B" w:rsidR="00B11850" w:rsidRPr="00EA2734" w:rsidRDefault="008D278F" w:rsidP="00D2286E">
      <w:pPr>
        <w:spacing w:before="120" w:line="276" w:lineRule="auto"/>
        <w:jc w:val="both"/>
        <w:rPr>
          <w:rFonts w:ascii="Arial Narrow" w:eastAsia="Calibri" w:hAnsi="Arial Narrow"/>
          <w:sz w:val="20"/>
          <w:szCs w:val="20"/>
          <w:lang w:val="en-GB"/>
        </w:rPr>
      </w:pPr>
      <w:r w:rsidRPr="00EA2734">
        <w:rPr>
          <w:rFonts w:ascii="Arial Narrow" w:eastAsia="Calibri" w:hAnsi="Arial Narrow"/>
          <w:sz w:val="20"/>
          <w:szCs w:val="20"/>
          <w:lang w:val="en-GB"/>
        </w:rPr>
        <w:t xml:space="preserve">The Issuer is equity-linked to Centre of Electronic Clearance Polish </w:t>
      </w:r>
      <w:proofErr w:type="spellStart"/>
      <w:r w:rsidRPr="00EA2734">
        <w:rPr>
          <w:rFonts w:ascii="Arial Narrow" w:eastAsia="Calibri" w:hAnsi="Arial Narrow"/>
          <w:sz w:val="20"/>
          <w:szCs w:val="20"/>
          <w:lang w:val="en-GB"/>
        </w:rPr>
        <w:t>ePayment</w:t>
      </w:r>
      <w:proofErr w:type="spellEnd"/>
      <w:r w:rsidRPr="00EA2734">
        <w:rPr>
          <w:rFonts w:ascii="Arial Narrow" w:eastAsia="Calibri" w:hAnsi="Arial Narrow"/>
          <w:sz w:val="20"/>
          <w:szCs w:val="20"/>
          <w:lang w:val="en-GB"/>
        </w:rPr>
        <w:t xml:space="preserve"> [Centrum </w:t>
      </w:r>
      <w:proofErr w:type="spellStart"/>
      <w:r w:rsidRPr="00EA2734">
        <w:rPr>
          <w:rFonts w:ascii="Arial Narrow" w:eastAsia="Calibri" w:hAnsi="Arial Narrow"/>
          <w:sz w:val="20"/>
          <w:szCs w:val="20"/>
          <w:lang w:val="en-GB"/>
        </w:rPr>
        <w:t>Rozliczeń</w:t>
      </w:r>
      <w:proofErr w:type="spellEnd"/>
      <w:r w:rsidRPr="00EA2734">
        <w:rPr>
          <w:rFonts w:ascii="Arial Narrow" w:eastAsia="Calibri" w:hAnsi="Arial Narrow"/>
          <w:sz w:val="20"/>
          <w:szCs w:val="20"/>
          <w:lang w:val="en-GB"/>
        </w:rPr>
        <w:t xml:space="preserve"> </w:t>
      </w:r>
      <w:proofErr w:type="spellStart"/>
      <w:r w:rsidRPr="00EA2734">
        <w:rPr>
          <w:rFonts w:ascii="Arial Narrow" w:eastAsia="Calibri" w:hAnsi="Arial Narrow"/>
          <w:sz w:val="20"/>
          <w:szCs w:val="20"/>
          <w:lang w:val="en-GB"/>
        </w:rPr>
        <w:t>Elektronicznych</w:t>
      </w:r>
      <w:proofErr w:type="spellEnd"/>
      <w:r w:rsidRPr="00EA2734">
        <w:rPr>
          <w:rFonts w:ascii="Arial Narrow" w:eastAsia="Calibri" w:hAnsi="Arial Narrow"/>
          <w:sz w:val="20"/>
          <w:szCs w:val="20"/>
          <w:lang w:val="en-GB"/>
        </w:rPr>
        <w:t xml:space="preserve"> </w:t>
      </w:r>
      <w:proofErr w:type="spellStart"/>
      <w:r w:rsidRPr="00EA2734">
        <w:rPr>
          <w:rFonts w:ascii="Arial Narrow" w:eastAsia="Calibri" w:hAnsi="Arial Narrow"/>
          <w:sz w:val="20"/>
          <w:szCs w:val="20"/>
          <w:lang w:val="en-GB"/>
        </w:rPr>
        <w:t>Polskie</w:t>
      </w:r>
      <w:proofErr w:type="spellEnd"/>
      <w:r w:rsidRPr="00EA2734">
        <w:rPr>
          <w:rFonts w:ascii="Arial Narrow" w:eastAsia="Calibri" w:hAnsi="Arial Narrow"/>
          <w:sz w:val="20"/>
          <w:szCs w:val="20"/>
          <w:lang w:val="en-GB"/>
        </w:rPr>
        <w:t xml:space="preserve"> </w:t>
      </w:r>
      <w:proofErr w:type="spellStart"/>
      <w:r w:rsidRPr="00EA2734">
        <w:rPr>
          <w:rFonts w:ascii="Arial Narrow" w:eastAsia="Calibri" w:hAnsi="Arial Narrow"/>
          <w:sz w:val="20"/>
          <w:szCs w:val="20"/>
          <w:lang w:val="en-GB"/>
        </w:rPr>
        <w:t>ePłatności</w:t>
      </w:r>
      <w:proofErr w:type="spellEnd"/>
      <w:r w:rsidRPr="00EA2734">
        <w:rPr>
          <w:rFonts w:ascii="Arial Narrow" w:eastAsia="Calibri" w:hAnsi="Arial Narrow"/>
          <w:sz w:val="20"/>
          <w:szCs w:val="20"/>
          <w:lang w:val="en-GB"/>
        </w:rPr>
        <w:t xml:space="preserve"> S.A.] with its seat in </w:t>
      </w:r>
      <w:proofErr w:type="spellStart"/>
      <w:r w:rsidRPr="00EA2734">
        <w:rPr>
          <w:rFonts w:ascii="Arial Narrow" w:eastAsia="Calibri" w:hAnsi="Arial Narrow"/>
          <w:sz w:val="20"/>
          <w:szCs w:val="20"/>
          <w:lang w:val="en-GB"/>
        </w:rPr>
        <w:t>Rzeszów</w:t>
      </w:r>
      <w:proofErr w:type="spellEnd"/>
      <w:r w:rsidRPr="00EA2734">
        <w:rPr>
          <w:rFonts w:ascii="Arial Narrow" w:eastAsia="Calibri" w:hAnsi="Arial Narrow"/>
          <w:sz w:val="20"/>
          <w:szCs w:val="20"/>
          <w:lang w:val="en-GB"/>
        </w:rPr>
        <w:t>. Other related parties of the Company are members of its management and supervisory bodies, and close family members of those people.</w:t>
      </w:r>
    </w:p>
    <w:p w14:paraId="6CE72E14" w14:textId="77777777" w:rsidR="002A6C67" w:rsidRPr="00EA2734" w:rsidRDefault="002A6C67" w:rsidP="00D2286E">
      <w:pPr>
        <w:spacing w:before="120" w:line="276" w:lineRule="auto"/>
        <w:jc w:val="both"/>
        <w:rPr>
          <w:rFonts w:ascii="Arial Narrow" w:eastAsia="Calibri" w:hAnsi="Arial Narrow"/>
          <w:sz w:val="20"/>
          <w:szCs w:val="20"/>
          <w:lang w:val="en-GB"/>
        </w:rPr>
      </w:pPr>
    </w:p>
    <w:p w14:paraId="54202B1E" w14:textId="2C4EC064" w:rsidR="007607EE" w:rsidRPr="00EA2734" w:rsidRDefault="007607EE" w:rsidP="007607EE">
      <w:pPr>
        <w:pStyle w:val="Zwykytekst"/>
        <w:spacing w:before="120" w:line="276" w:lineRule="auto"/>
        <w:jc w:val="both"/>
        <w:rPr>
          <w:rFonts w:ascii="Arial Narrow" w:eastAsia="Calibri" w:hAnsi="Arial Narrow"/>
          <w:lang w:val="en-GB"/>
        </w:rPr>
      </w:pPr>
      <w:r w:rsidRPr="00EA2734">
        <w:rPr>
          <w:rFonts w:ascii="Arial Narrow" w:eastAsia="Calibri" w:hAnsi="Arial Narrow"/>
          <w:lang w:val="en-GB"/>
        </w:rPr>
        <w:t xml:space="preserve">Centre of Electronic Clearance Polish </w:t>
      </w:r>
      <w:proofErr w:type="spellStart"/>
      <w:r w:rsidRPr="00EA2734">
        <w:rPr>
          <w:rFonts w:ascii="Arial Narrow" w:eastAsia="Calibri" w:hAnsi="Arial Narrow"/>
          <w:lang w:val="en-GB"/>
        </w:rPr>
        <w:t>ePayment</w:t>
      </w:r>
      <w:proofErr w:type="spellEnd"/>
      <w:r w:rsidRPr="00EA2734">
        <w:rPr>
          <w:rFonts w:ascii="Arial Narrow" w:eastAsia="Calibri" w:hAnsi="Arial Narrow"/>
          <w:lang w:val="en-GB"/>
        </w:rPr>
        <w:t xml:space="preserve"> (</w:t>
      </w:r>
      <w:proofErr w:type="spellStart"/>
      <w:r w:rsidRPr="00EA2734">
        <w:rPr>
          <w:rFonts w:ascii="Arial Narrow" w:eastAsia="Calibri" w:hAnsi="Arial Narrow"/>
          <w:lang w:val="en-GB"/>
        </w:rPr>
        <w:t>PeP</w:t>
      </w:r>
      <w:proofErr w:type="spellEnd"/>
      <w:r w:rsidRPr="00EA2734">
        <w:rPr>
          <w:rFonts w:ascii="Arial Narrow" w:eastAsia="Calibri" w:hAnsi="Arial Narrow"/>
          <w:lang w:val="en-GB"/>
        </w:rPr>
        <w:t xml:space="preserve">) was established on the terms set forth by the investment agreement of 18 January 2010 and registered on 21 January 2010 by the Regional Court in </w:t>
      </w:r>
      <w:proofErr w:type="spellStart"/>
      <w:r w:rsidRPr="00EA2734">
        <w:rPr>
          <w:rFonts w:ascii="Arial Narrow" w:eastAsia="Calibri" w:hAnsi="Arial Narrow"/>
          <w:lang w:val="en-GB"/>
        </w:rPr>
        <w:t>Rzeszów</w:t>
      </w:r>
      <w:proofErr w:type="spellEnd"/>
      <w:r w:rsidRPr="00EA2734">
        <w:rPr>
          <w:rFonts w:ascii="Arial Narrow" w:eastAsia="Calibri" w:hAnsi="Arial Narrow"/>
          <w:lang w:val="en-GB"/>
        </w:rPr>
        <w:t>, 12th Commercial Division of the National Court Register.</w:t>
      </w:r>
    </w:p>
    <w:p w14:paraId="2FE000B3" w14:textId="64378FA6" w:rsidR="00D2286E" w:rsidRPr="00EA2734" w:rsidRDefault="00A4056A" w:rsidP="007607EE">
      <w:pPr>
        <w:pStyle w:val="Zwykytekst"/>
        <w:spacing w:before="120" w:line="276" w:lineRule="auto"/>
        <w:jc w:val="both"/>
        <w:rPr>
          <w:rFonts w:ascii="Arial Narrow" w:eastAsia="Calibri" w:hAnsi="Arial Narrow"/>
          <w:lang w:val="en-GB"/>
        </w:rPr>
      </w:pPr>
      <w:r w:rsidRPr="00EA2734">
        <w:rPr>
          <w:rFonts w:ascii="Arial Narrow" w:eastAsia="Calibri" w:hAnsi="Arial Narrow"/>
          <w:lang w:val="en-GB"/>
        </w:rPr>
        <w:t xml:space="preserve">As of 30 June 2015 and as of 31 December 2015, </w:t>
      </w:r>
      <w:proofErr w:type="spellStart"/>
      <w:r w:rsidRPr="00EA2734">
        <w:rPr>
          <w:rFonts w:ascii="Arial Narrow" w:eastAsia="Calibri" w:hAnsi="Arial Narrow"/>
          <w:lang w:val="en-GB"/>
        </w:rPr>
        <w:t>OPTeam</w:t>
      </w:r>
      <w:proofErr w:type="spellEnd"/>
      <w:r w:rsidRPr="00EA2734">
        <w:rPr>
          <w:rFonts w:ascii="Arial Narrow" w:eastAsia="Calibri" w:hAnsi="Arial Narrow"/>
          <w:lang w:val="en-GB"/>
        </w:rPr>
        <w:t xml:space="preserve"> SA held in its financial assets a 50% stake in the authorised capital of Polish </w:t>
      </w:r>
      <w:proofErr w:type="spellStart"/>
      <w:r w:rsidRPr="00EA2734">
        <w:rPr>
          <w:rFonts w:ascii="Arial Narrow" w:eastAsia="Calibri" w:hAnsi="Arial Narrow"/>
          <w:lang w:val="en-GB"/>
        </w:rPr>
        <w:t>ePayment</w:t>
      </w:r>
      <w:proofErr w:type="spellEnd"/>
      <w:r w:rsidRPr="00EA2734">
        <w:rPr>
          <w:rFonts w:ascii="Arial Narrow" w:eastAsia="Calibri" w:hAnsi="Arial Narrow"/>
          <w:lang w:val="en-GB"/>
        </w:rPr>
        <w:t xml:space="preserve"> and 41.16 % of votes a</w:t>
      </w:r>
      <w:r w:rsidR="00AF0BE0" w:rsidRPr="00EA2734">
        <w:rPr>
          <w:rFonts w:ascii="Arial Narrow" w:eastAsia="Calibri" w:hAnsi="Arial Narrow"/>
          <w:lang w:val="en-GB"/>
        </w:rPr>
        <w:t xml:space="preserve">t the General Meeting. In H1 of 2016, as a result of concluded agreements related to </w:t>
      </w:r>
      <w:r w:rsidR="00AF0BE0" w:rsidRPr="00EA2734">
        <w:rPr>
          <w:rFonts w:ascii="Arial Narrow" w:eastAsia="Calibri" w:hAnsi="Arial Narrow"/>
          <w:lang w:val="en-GB"/>
        </w:rPr>
        <w:lastRenderedPageBreak/>
        <w:t xml:space="preserve">disposal of Polish </w:t>
      </w:r>
      <w:proofErr w:type="spellStart"/>
      <w:r w:rsidR="00AF0BE0" w:rsidRPr="00EA2734">
        <w:rPr>
          <w:rFonts w:ascii="Arial Narrow" w:eastAsia="Calibri" w:hAnsi="Arial Narrow"/>
          <w:lang w:val="en-GB"/>
        </w:rPr>
        <w:t>ePayment</w:t>
      </w:r>
      <w:proofErr w:type="spellEnd"/>
      <w:r w:rsidR="00AF0BE0" w:rsidRPr="00EA2734">
        <w:rPr>
          <w:rFonts w:ascii="Arial Narrow" w:eastAsia="Calibri" w:hAnsi="Arial Narrow"/>
          <w:lang w:val="en-GB"/>
        </w:rPr>
        <w:t xml:space="preserve"> shares (specified in point 2 below), there was a change in the structure of the company’s capital ownership.</w:t>
      </w:r>
    </w:p>
    <w:p w14:paraId="3F87962A" w14:textId="77777777" w:rsidR="00D2286E" w:rsidRPr="00EA2734" w:rsidRDefault="00D2286E" w:rsidP="009C5662">
      <w:pPr>
        <w:spacing w:line="276" w:lineRule="auto"/>
        <w:jc w:val="both"/>
        <w:rPr>
          <w:rFonts w:ascii="Arial Narrow" w:eastAsia="Calibri" w:hAnsi="Arial Narrow"/>
          <w:sz w:val="20"/>
          <w:szCs w:val="20"/>
          <w:lang w:val="en-GB"/>
        </w:rPr>
      </w:pPr>
    </w:p>
    <w:p w14:paraId="09AC6BB6" w14:textId="428EAC8B" w:rsidR="009C5662" w:rsidRPr="00EA2734" w:rsidRDefault="00AF0BE0" w:rsidP="009C5662">
      <w:pPr>
        <w:spacing w:line="276" w:lineRule="auto"/>
        <w:jc w:val="both"/>
        <w:rPr>
          <w:rFonts w:ascii="Arial Narrow" w:eastAsia="Arial Unicode MS" w:hAnsi="Arial Narrow" w:cs="Arial Unicode MS"/>
          <w:b/>
          <w:sz w:val="20"/>
          <w:szCs w:val="20"/>
          <w:lang w:val="en-GB"/>
        </w:rPr>
      </w:pPr>
      <w:r w:rsidRPr="00EA2734">
        <w:rPr>
          <w:rFonts w:ascii="Arial Narrow" w:eastAsia="Arial Unicode MS" w:hAnsi="Arial Narrow" w:cs="Arial Unicode MS"/>
          <w:b/>
          <w:sz w:val="20"/>
          <w:szCs w:val="20"/>
          <w:lang w:val="en-GB"/>
        </w:rPr>
        <w:t xml:space="preserve">Capital ownership at Centre of Electronic Clearance Polish </w:t>
      </w:r>
      <w:proofErr w:type="spellStart"/>
      <w:r w:rsidRPr="00EA2734">
        <w:rPr>
          <w:rFonts w:ascii="Arial Narrow" w:eastAsia="Arial Unicode MS" w:hAnsi="Arial Narrow" w:cs="Arial Unicode MS"/>
          <w:b/>
          <w:sz w:val="20"/>
          <w:szCs w:val="20"/>
          <w:lang w:val="en-GB"/>
        </w:rPr>
        <w:t>ePayment</w:t>
      </w:r>
      <w:proofErr w:type="spellEnd"/>
      <w:r w:rsidRPr="00EA2734">
        <w:rPr>
          <w:rFonts w:ascii="Arial Narrow" w:eastAsia="Arial Unicode MS" w:hAnsi="Arial Narrow" w:cs="Arial Unicode MS"/>
          <w:b/>
          <w:sz w:val="20"/>
          <w:szCs w:val="20"/>
          <w:lang w:val="en-GB"/>
        </w:rPr>
        <w:t xml:space="preserve"> as of 30 June 2016</w:t>
      </w:r>
    </w:p>
    <w:p w14:paraId="36ACD0BA" w14:textId="77777777" w:rsidR="009C5662" w:rsidRPr="00EA2734" w:rsidRDefault="009C5662" w:rsidP="009C5662">
      <w:pPr>
        <w:spacing w:line="276" w:lineRule="auto"/>
        <w:rPr>
          <w:rFonts w:ascii="Arial Narrow" w:hAnsi="Arial Narrow" w:cs="Arial Narrow"/>
          <w:sz w:val="16"/>
          <w:szCs w:val="16"/>
          <w:highlight w:val="yellow"/>
          <w:lang w:val="en-GB"/>
        </w:rPr>
      </w:pPr>
    </w:p>
    <w:tbl>
      <w:tblPr>
        <w:tblW w:w="924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76"/>
        <w:gridCol w:w="1174"/>
        <w:gridCol w:w="1094"/>
        <w:gridCol w:w="1134"/>
        <w:gridCol w:w="1185"/>
        <w:gridCol w:w="979"/>
      </w:tblGrid>
      <w:tr w:rsidR="009C5662" w:rsidRPr="00EA2734" w14:paraId="0786ECF4" w14:textId="77777777" w:rsidTr="009C5662">
        <w:trPr>
          <w:jc w:val="center"/>
        </w:trPr>
        <w:tc>
          <w:tcPr>
            <w:tcW w:w="3676" w:type="dxa"/>
            <w:tcBorders>
              <w:top w:val="single" w:sz="4" w:space="0" w:color="auto"/>
              <w:bottom w:val="single" w:sz="4" w:space="0" w:color="auto"/>
            </w:tcBorders>
            <w:shd w:val="clear" w:color="auto" w:fill="595959"/>
            <w:tcMar>
              <w:left w:w="0" w:type="dxa"/>
            </w:tcMar>
            <w:vAlign w:val="center"/>
          </w:tcPr>
          <w:p w14:paraId="1ED03E79" w14:textId="26ED235A"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Description</w:t>
            </w:r>
          </w:p>
        </w:tc>
        <w:tc>
          <w:tcPr>
            <w:tcW w:w="1174" w:type="dxa"/>
            <w:tcBorders>
              <w:top w:val="single" w:sz="4" w:space="0" w:color="auto"/>
              <w:bottom w:val="single" w:sz="4" w:space="0" w:color="auto"/>
            </w:tcBorders>
            <w:shd w:val="clear" w:color="auto" w:fill="595959"/>
            <w:vAlign w:val="center"/>
          </w:tcPr>
          <w:p w14:paraId="35F965B3" w14:textId="174E0E31"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Number of shares</w:t>
            </w:r>
          </w:p>
        </w:tc>
        <w:tc>
          <w:tcPr>
            <w:tcW w:w="1094" w:type="dxa"/>
            <w:tcBorders>
              <w:top w:val="single" w:sz="4" w:space="0" w:color="auto"/>
              <w:bottom w:val="single" w:sz="4" w:space="0" w:color="auto"/>
            </w:tcBorders>
            <w:shd w:val="clear" w:color="auto" w:fill="595959"/>
            <w:vAlign w:val="center"/>
          </w:tcPr>
          <w:p w14:paraId="3BBF5147" w14:textId="4D2CC999"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Number of votes</w:t>
            </w:r>
          </w:p>
        </w:tc>
        <w:tc>
          <w:tcPr>
            <w:tcW w:w="1134" w:type="dxa"/>
            <w:tcBorders>
              <w:top w:val="single" w:sz="4" w:space="0" w:color="auto"/>
              <w:bottom w:val="single" w:sz="4" w:space="0" w:color="auto"/>
            </w:tcBorders>
            <w:shd w:val="clear" w:color="auto" w:fill="595959"/>
          </w:tcPr>
          <w:p w14:paraId="359DF50C" w14:textId="66745A0F"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Share of votes at the GMS</w:t>
            </w:r>
            <w:r w:rsidR="009C5662" w:rsidRPr="00EA2734">
              <w:rPr>
                <w:rFonts w:ascii="Arial Narrow" w:hAnsi="Arial Narrow" w:cs="Arial Narrow"/>
                <w:b/>
                <w:bCs/>
                <w:color w:val="FFFFFF"/>
                <w:sz w:val="20"/>
                <w:szCs w:val="20"/>
                <w:lang w:val="en-GB"/>
              </w:rPr>
              <w:t xml:space="preserve"> (%)</w:t>
            </w:r>
          </w:p>
        </w:tc>
        <w:tc>
          <w:tcPr>
            <w:tcW w:w="1185" w:type="dxa"/>
            <w:tcBorders>
              <w:top w:val="single" w:sz="4" w:space="0" w:color="auto"/>
              <w:bottom w:val="single" w:sz="4" w:space="0" w:color="auto"/>
            </w:tcBorders>
            <w:shd w:val="clear" w:color="auto" w:fill="595959"/>
            <w:vAlign w:val="center"/>
          </w:tcPr>
          <w:p w14:paraId="07CEA88D" w14:textId="2EAE7E2C"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Share nominal value</w:t>
            </w:r>
          </w:p>
        </w:tc>
        <w:tc>
          <w:tcPr>
            <w:tcW w:w="979" w:type="dxa"/>
            <w:tcBorders>
              <w:top w:val="single" w:sz="4" w:space="0" w:color="auto"/>
              <w:bottom w:val="single" w:sz="4" w:space="0" w:color="auto"/>
            </w:tcBorders>
            <w:shd w:val="clear" w:color="auto" w:fill="595959"/>
          </w:tcPr>
          <w:p w14:paraId="1E24DEE0" w14:textId="4DD044EE"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Share in equity</w:t>
            </w:r>
            <w:r w:rsidR="009C5662" w:rsidRPr="00EA2734">
              <w:rPr>
                <w:rFonts w:ascii="Arial Narrow" w:hAnsi="Arial Narrow" w:cs="Arial Narrow"/>
                <w:b/>
                <w:bCs/>
                <w:color w:val="FFFFFF"/>
                <w:sz w:val="20"/>
                <w:szCs w:val="20"/>
                <w:lang w:val="en-GB"/>
              </w:rPr>
              <w:t xml:space="preserve"> (%)</w:t>
            </w:r>
          </w:p>
        </w:tc>
      </w:tr>
      <w:tr w:rsidR="009C5662" w:rsidRPr="00EA2734" w14:paraId="273760E1" w14:textId="77777777" w:rsidTr="009C5662">
        <w:trPr>
          <w:trHeight w:val="479"/>
          <w:jc w:val="center"/>
        </w:trPr>
        <w:tc>
          <w:tcPr>
            <w:tcW w:w="3676" w:type="dxa"/>
            <w:tcBorders>
              <w:top w:val="single" w:sz="4" w:space="0" w:color="auto"/>
            </w:tcBorders>
            <w:tcMar>
              <w:left w:w="200" w:type="dxa"/>
            </w:tcMar>
            <w:vAlign w:val="center"/>
          </w:tcPr>
          <w:p w14:paraId="5E3CFB3F" w14:textId="77777777" w:rsidR="009C5662" w:rsidRPr="00EA2734" w:rsidRDefault="009C5662" w:rsidP="00EE3BFD">
            <w:pPr>
              <w:spacing w:after="60"/>
              <w:ind w:left="57"/>
              <w:rPr>
                <w:rFonts w:ascii="Arial Narrow" w:hAnsi="Arial Narrow" w:cs="Arial Narrow"/>
                <w:sz w:val="20"/>
                <w:szCs w:val="20"/>
                <w:lang w:val="en-GB"/>
              </w:rPr>
            </w:pPr>
            <w:proofErr w:type="spellStart"/>
            <w:r w:rsidRPr="00EA2734">
              <w:rPr>
                <w:rFonts w:ascii="Arial Narrow" w:hAnsi="Arial Narrow" w:cs="Arial Narrow"/>
                <w:sz w:val="20"/>
                <w:szCs w:val="20"/>
                <w:lang w:val="en-GB"/>
              </w:rPr>
              <w:t>OPTeam</w:t>
            </w:r>
            <w:proofErr w:type="spellEnd"/>
            <w:r w:rsidRPr="00EA2734">
              <w:rPr>
                <w:rFonts w:ascii="Arial Narrow" w:hAnsi="Arial Narrow" w:cs="Arial Narrow"/>
                <w:sz w:val="20"/>
                <w:szCs w:val="20"/>
                <w:lang w:val="en-GB"/>
              </w:rPr>
              <w:t xml:space="preserve"> S.A.</w:t>
            </w:r>
          </w:p>
        </w:tc>
        <w:tc>
          <w:tcPr>
            <w:tcW w:w="1174" w:type="dxa"/>
            <w:tcBorders>
              <w:top w:val="single" w:sz="4" w:space="0" w:color="auto"/>
            </w:tcBorders>
            <w:vAlign w:val="center"/>
          </w:tcPr>
          <w:p w14:paraId="647F78F9"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7 096 053</w:t>
            </w:r>
          </w:p>
        </w:tc>
        <w:tc>
          <w:tcPr>
            <w:tcW w:w="1094" w:type="dxa"/>
            <w:tcBorders>
              <w:top w:val="single" w:sz="4" w:space="0" w:color="auto"/>
            </w:tcBorders>
            <w:vAlign w:val="center"/>
          </w:tcPr>
          <w:p w14:paraId="0950E78A"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7 096 053</w:t>
            </w:r>
          </w:p>
        </w:tc>
        <w:tc>
          <w:tcPr>
            <w:tcW w:w="1134" w:type="dxa"/>
            <w:tcBorders>
              <w:top w:val="single" w:sz="4" w:space="0" w:color="auto"/>
            </w:tcBorders>
            <w:vAlign w:val="center"/>
          </w:tcPr>
          <w:p w14:paraId="7FCF4F01" w14:textId="28F12B12"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20</w:t>
            </w:r>
            <w:r w:rsidR="00742B9B" w:rsidRPr="00EA2734">
              <w:rPr>
                <w:rFonts w:ascii="Arial Narrow" w:hAnsi="Arial Narrow"/>
                <w:bCs/>
                <w:color w:val="000000"/>
                <w:sz w:val="20"/>
                <w:szCs w:val="20"/>
                <w:lang w:val="en-GB"/>
              </w:rPr>
              <w:t>.</w:t>
            </w:r>
            <w:r w:rsidRPr="00EA2734">
              <w:rPr>
                <w:rFonts w:ascii="Arial Narrow" w:hAnsi="Arial Narrow"/>
                <w:bCs/>
                <w:color w:val="000000"/>
                <w:sz w:val="20"/>
                <w:szCs w:val="20"/>
                <w:lang w:val="en-GB"/>
              </w:rPr>
              <w:t>58%</w:t>
            </w:r>
          </w:p>
        </w:tc>
        <w:tc>
          <w:tcPr>
            <w:tcW w:w="1185" w:type="dxa"/>
            <w:tcBorders>
              <w:top w:val="single" w:sz="4" w:space="0" w:color="auto"/>
            </w:tcBorders>
            <w:vAlign w:val="center"/>
          </w:tcPr>
          <w:p w14:paraId="4F16CA34"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7 096 053</w:t>
            </w:r>
          </w:p>
        </w:tc>
        <w:tc>
          <w:tcPr>
            <w:tcW w:w="979" w:type="dxa"/>
            <w:tcBorders>
              <w:top w:val="single" w:sz="4" w:space="0" w:color="auto"/>
            </w:tcBorders>
            <w:vAlign w:val="center"/>
          </w:tcPr>
          <w:p w14:paraId="38581C03" w14:textId="03BA4FE6"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25</w:t>
            </w:r>
            <w:r w:rsidR="00742B9B" w:rsidRPr="00EA2734">
              <w:rPr>
                <w:rFonts w:ascii="Arial Narrow" w:hAnsi="Arial Narrow"/>
                <w:bCs/>
                <w:color w:val="000000"/>
                <w:sz w:val="20"/>
                <w:szCs w:val="20"/>
                <w:lang w:val="en-GB"/>
              </w:rPr>
              <w:t>.</w:t>
            </w:r>
            <w:r w:rsidRPr="00EA2734">
              <w:rPr>
                <w:rFonts w:ascii="Arial Narrow" w:hAnsi="Arial Narrow"/>
                <w:bCs/>
                <w:color w:val="000000"/>
                <w:sz w:val="20"/>
                <w:szCs w:val="20"/>
                <w:lang w:val="en-GB"/>
              </w:rPr>
              <w:t>00%</w:t>
            </w:r>
          </w:p>
        </w:tc>
      </w:tr>
      <w:tr w:rsidR="009C5662" w:rsidRPr="00EA2734" w14:paraId="2626B69D" w14:textId="77777777" w:rsidTr="009C5662">
        <w:trPr>
          <w:trHeight w:val="413"/>
          <w:jc w:val="center"/>
        </w:trPr>
        <w:tc>
          <w:tcPr>
            <w:tcW w:w="3676" w:type="dxa"/>
            <w:tcMar>
              <w:left w:w="200" w:type="dxa"/>
            </w:tcMar>
            <w:vAlign w:val="center"/>
          </w:tcPr>
          <w:p w14:paraId="128C5DA6" w14:textId="77777777" w:rsidR="009C5662" w:rsidRPr="00EA2734" w:rsidRDefault="009C5662" w:rsidP="00EE3BFD">
            <w:pPr>
              <w:spacing w:after="60"/>
              <w:ind w:left="57"/>
              <w:rPr>
                <w:rFonts w:ascii="Arial Narrow" w:hAnsi="Arial Narrow" w:cs="Arial Narrow"/>
                <w:sz w:val="20"/>
                <w:szCs w:val="20"/>
                <w:lang w:val="en-GB"/>
              </w:rPr>
            </w:pPr>
            <w:r w:rsidRPr="00EA2734">
              <w:rPr>
                <w:rFonts w:ascii="Arial Narrow" w:eastAsia="Arial Unicode MS" w:hAnsi="Arial Narrow" w:cs="Arial Unicode MS"/>
                <w:sz w:val="20"/>
                <w:szCs w:val="20"/>
                <w:lang w:val="en-GB"/>
              </w:rPr>
              <w:t xml:space="preserve">INNOVA. </w:t>
            </w:r>
          </w:p>
        </w:tc>
        <w:tc>
          <w:tcPr>
            <w:tcW w:w="1174" w:type="dxa"/>
            <w:vAlign w:val="center"/>
          </w:tcPr>
          <w:p w14:paraId="2DF16ED7"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21 288 157</w:t>
            </w:r>
          </w:p>
        </w:tc>
        <w:tc>
          <w:tcPr>
            <w:tcW w:w="1094" w:type="dxa"/>
            <w:vAlign w:val="center"/>
          </w:tcPr>
          <w:p w14:paraId="2235F72A"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27 384 210</w:t>
            </w:r>
          </w:p>
        </w:tc>
        <w:tc>
          <w:tcPr>
            <w:tcW w:w="1134" w:type="dxa"/>
            <w:vAlign w:val="center"/>
          </w:tcPr>
          <w:p w14:paraId="0B57BD8F" w14:textId="679D9A06"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79</w:t>
            </w:r>
            <w:r w:rsidR="00742B9B" w:rsidRPr="00EA2734">
              <w:rPr>
                <w:rFonts w:ascii="Arial Narrow" w:hAnsi="Arial Narrow"/>
                <w:bCs/>
                <w:color w:val="000000"/>
                <w:sz w:val="20"/>
                <w:szCs w:val="20"/>
                <w:lang w:val="en-GB"/>
              </w:rPr>
              <w:t>.</w:t>
            </w:r>
            <w:r w:rsidRPr="00EA2734">
              <w:rPr>
                <w:rFonts w:ascii="Arial Narrow" w:hAnsi="Arial Narrow"/>
                <w:bCs/>
                <w:color w:val="000000"/>
                <w:sz w:val="20"/>
                <w:szCs w:val="20"/>
                <w:lang w:val="en-GB"/>
              </w:rPr>
              <w:t>42%</w:t>
            </w:r>
          </w:p>
        </w:tc>
        <w:tc>
          <w:tcPr>
            <w:tcW w:w="1185" w:type="dxa"/>
            <w:vAlign w:val="center"/>
          </w:tcPr>
          <w:p w14:paraId="400FCC60"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21 288 157</w:t>
            </w:r>
          </w:p>
        </w:tc>
        <w:tc>
          <w:tcPr>
            <w:tcW w:w="979" w:type="dxa"/>
            <w:vAlign w:val="center"/>
          </w:tcPr>
          <w:p w14:paraId="392045E8" w14:textId="165AEBB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75</w:t>
            </w:r>
            <w:r w:rsidR="00742B9B" w:rsidRPr="00EA2734">
              <w:rPr>
                <w:rFonts w:ascii="Arial Narrow" w:hAnsi="Arial Narrow"/>
                <w:bCs/>
                <w:color w:val="000000"/>
                <w:sz w:val="20"/>
                <w:szCs w:val="20"/>
                <w:lang w:val="en-GB"/>
              </w:rPr>
              <w:t>.</w:t>
            </w:r>
            <w:r w:rsidRPr="00EA2734">
              <w:rPr>
                <w:rFonts w:ascii="Arial Narrow" w:hAnsi="Arial Narrow"/>
                <w:bCs/>
                <w:color w:val="000000"/>
                <w:sz w:val="20"/>
                <w:szCs w:val="20"/>
                <w:lang w:val="en-GB"/>
              </w:rPr>
              <w:t>00%</w:t>
            </w:r>
          </w:p>
        </w:tc>
      </w:tr>
      <w:tr w:rsidR="009C5662" w:rsidRPr="00EA2734" w14:paraId="43C6A842" w14:textId="77777777" w:rsidTr="009C5662">
        <w:trPr>
          <w:trHeight w:val="445"/>
          <w:jc w:val="center"/>
        </w:trPr>
        <w:tc>
          <w:tcPr>
            <w:tcW w:w="3676" w:type="dxa"/>
            <w:tcMar>
              <w:left w:w="200" w:type="dxa"/>
            </w:tcMar>
            <w:vAlign w:val="center"/>
          </w:tcPr>
          <w:p w14:paraId="36387D00" w14:textId="47852293" w:rsidR="009C5662" w:rsidRPr="00EA2734" w:rsidRDefault="00AF0BE0" w:rsidP="00EE3BFD">
            <w:pPr>
              <w:spacing w:after="60"/>
              <w:ind w:left="57"/>
              <w:rPr>
                <w:rFonts w:ascii="Arial Narrow" w:hAnsi="Arial Narrow" w:cs="Arial Narrow"/>
                <w:b/>
                <w:sz w:val="20"/>
                <w:szCs w:val="20"/>
                <w:lang w:val="en-GB"/>
              </w:rPr>
            </w:pPr>
            <w:r w:rsidRPr="00EA2734">
              <w:rPr>
                <w:rFonts w:ascii="Arial Narrow" w:hAnsi="Arial Narrow" w:cs="Arial Narrow"/>
                <w:b/>
                <w:sz w:val="20"/>
                <w:szCs w:val="20"/>
                <w:lang w:val="en-GB"/>
              </w:rPr>
              <w:t>Total</w:t>
            </w:r>
          </w:p>
        </w:tc>
        <w:tc>
          <w:tcPr>
            <w:tcW w:w="1174" w:type="dxa"/>
            <w:vAlign w:val="center"/>
          </w:tcPr>
          <w:p w14:paraId="30204C48" w14:textId="77777777" w:rsidR="009C5662" w:rsidRPr="00EA2734" w:rsidRDefault="009C5662" w:rsidP="00EE3BFD">
            <w:pPr>
              <w:jc w:val="right"/>
              <w:rPr>
                <w:rFonts w:ascii="Arial Narrow" w:hAnsi="Arial Narrow"/>
                <w:b/>
                <w:bCs/>
                <w:color w:val="000000"/>
                <w:sz w:val="20"/>
                <w:szCs w:val="20"/>
                <w:lang w:val="en-GB"/>
              </w:rPr>
            </w:pPr>
            <w:r w:rsidRPr="00EA2734">
              <w:rPr>
                <w:rFonts w:ascii="Arial Narrow" w:hAnsi="Arial Narrow"/>
                <w:b/>
                <w:bCs/>
                <w:color w:val="000000"/>
                <w:sz w:val="20"/>
                <w:szCs w:val="20"/>
                <w:lang w:val="en-GB"/>
              </w:rPr>
              <w:t>28 384 210</w:t>
            </w:r>
          </w:p>
        </w:tc>
        <w:tc>
          <w:tcPr>
            <w:tcW w:w="1094" w:type="dxa"/>
            <w:vAlign w:val="center"/>
          </w:tcPr>
          <w:p w14:paraId="621B337B" w14:textId="77777777" w:rsidR="009C5662" w:rsidRPr="00EA2734" w:rsidRDefault="009C5662" w:rsidP="00EE3BFD">
            <w:pPr>
              <w:jc w:val="right"/>
              <w:rPr>
                <w:rFonts w:ascii="Arial Narrow" w:hAnsi="Arial Narrow"/>
                <w:b/>
                <w:bCs/>
                <w:color w:val="000000"/>
                <w:sz w:val="20"/>
                <w:szCs w:val="20"/>
                <w:lang w:val="en-GB"/>
              </w:rPr>
            </w:pPr>
            <w:r w:rsidRPr="00EA2734">
              <w:rPr>
                <w:rFonts w:ascii="Arial Narrow" w:hAnsi="Arial Narrow"/>
                <w:b/>
                <w:bCs/>
                <w:color w:val="000000"/>
                <w:sz w:val="20"/>
                <w:szCs w:val="20"/>
                <w:lang w:val="en-GB"/>
              </w:rPr>
              <w:t>34 480 263</w:t>
            </w:r>
          </w:p>
        </w:tc>
        <w:tc>
          <w:tcPr>
            <w:tcW w:w="1134" w:type="dxa"/>
            <w:vAlign w:val="center"/>
          </w:tcPr>
          <w:p w14:paraId="4892E0E8" w14:textId="6E93D66F" w:rsidR="009C5662" w:rsidRPr="00EA2734" w:rsidRDefault="009C5662" w:rsidP="00EE3BFD">
            <w:pPr>
              <w:jc w:val="right"/>
              <w:rPr>
                <w:rFonts w:ascii="Arial Narrow" w:hAnsi="Arial Narrow"/>
                <w:b/>
                <w:bCs/>
                <w:color w:val="000000"/>
                <w:sz w:val="20"/>
                <w:szCs w:val="20"/>
                <w:lang w:val="en-GB"/>
              </w:rPr>
            </w:pPr>
            <w:r w:rsidRPr="00EA2734">
              <w:rPr>
                <w:rFonts w:ascii="Arial Narrow" w:hAnsi="Arial Narrow"/>
                <w:b/>
                <w:bCs/>
                <w:color w:val="000000"/>
                <w:sz w:val="20"/>
                <w:szCs w:val="20"/>
                <w:lang w:val="en-GB"/>
              </w:rPr>
              <w:t>100</w:t>
            </w:r>
            <w:r w:rsidR="00742B9B" w:rsidRPr="00EA2734">
              <w:rPr>
                <w:rFonts w:ascii="Arial Narrow" w:hAnsi="Arial Narrow"/>
                <w:b/>
                <w:bCs/>
                <w:color w:val="000000"/>
                <w:sz w:val="20"/>
                <w:szCs w:val="20"/>
                <w:lang w:val="en-GB"/>
              </w:rPr>
              <w:t>.</w:t>
            </w:r>
            <w:r w:rsidRPr="00EA2734">
              <w:rPr>
                <w:rFonts w:ascii="Arial Narrow" w:hAnsi="Arial Narrow"/>
                <w:b/>
                <w:bCs/>
                <w:color w:val="000000"/>
                <w:sz w:val="20"/>
                <w:szCs w:val="20"/>
                <w:lang w:val="en-GB"/>
              </w:rPr>
              <w:t>00%</w:t>
            </w:r>
          </w:p>
        </w:tc>
        <w:tc>
          <w:tcPr>
            <w:tcW w:w="1185" w:type="dxa"/>
            <w:vAlign w:val="center"/>
          </w:tcPr>
          <w:p w14:paraId="45CAFB59" w14:textId="77777777" w:rsidR="009C5662" w:rsidRPr="00EA2734" w:rsidRDefault="009C5662" w:rsidP="00EE3BFD">
            <w:pPr>
              <w:jc w:val="right"/>
              <w:rPr>
                <w:rFonts w:ascii="Arial Narrow" w:hAnsi="Arial Narrow"/>
                <w:b/>
                <w:bCs/>
                <w:color w:val="000000"/>
                <w:sz w:val="20"/>
                <w:szCs w:val="20"/>
                <w:lang w:val="en-GB"/>
              </w:rPr>
            </w:pPr>
            <w:r w:rsidRPr="00EA2734">
              <w:rPr>
                <w:rFonts w:ascii="Arial Narrow" w:hAnsi="Arial Narrow"/>
                <w:b/>
                <w:bCs/>
                <w:color w:val="000000"/>
                <w:sz w:val="20"/>
                <w:szCs w:val="20"/>
                <w:lang w:val="en-GB"/>
              </w:rPr>
              <w:t>28 384 210</w:t>
            </w:r>
          </w:p>
        </w:tc>
        <w:tc>
          <w:tcPr>
            <w:tcW w:w="979" w:type="dxa"/>
            <w:vAlign w:val="center"/>
          </w:tcPr>
          <w:p w14:paraId="171961B9" w14:textId="78C0524B" w:rsidR="009C5662" w:rsidRPr="00EA2734" w:rsidRDefault="009C5662" w:rsidP="00EE3BFD">
            <w:pPr>
              <w:jc w:val="right"/>
              <w:rPr>
                <w:rFonts w:ascii="Arial Narrow" w:hAnsi="Arial Narrow"/>
                <w:b/>
                <w:bCs/>
                <w:color w:val="000000"/>
                <w:sz w:val="20"/>
                <w:szCs w:val="20"/>
                <w:lang w:val="en-GB"/>
              </w:rPr>
            </w:pPr>
            <w:r w:rsidRPr="00EA2734">
              <w:rPr>
                <w:rFonts w:ascii="Arial Narrow" w:hAnsi="Arial Narrow"/>
                <w:b/>
                <w:bCs/>
                <w:color w:val="000000"/>
                <w:sz w:val="20"/>
                <w:szCs w:val="20"/>
                <w:lang w:val="en-GB"/>
              </w:rPr>
              <w:t>100</w:t>
            </w:r>
            <w:r w:rsidR="00742B9B" w:rsidRPr="00EA2734">
              <w:rPr>
                <w:rFonts w:ascii="Arial Narrow" w:hAnsi="Arial Narrow"/>
                <w:b/>
                <w:bCs/>
                <w:color w:val="000000"/>
                <w:sz w:val="20"/>
                <w:szCs w:val="20"/>
                <w:lang w:val="en-GB"/>
              </w:rPr>
              <w:t>.</w:t>
            </w:r>
            <w:r w:rsidRPr="00EA2734">
              <w:rPr>
                <w:rFonts w:ascii="Arial Narrow" w:hAnsi="Arial Narrow"/>
                <w:b/>
                <w:bCs/>
                <w:color w:val="000000"/>
                <w:sz w:val="20"/>
                <w:szCs w:val="20"/>
                <w:lang w:val="en-GB"/>
              </w:rPr>
              <w:t>00%</w:t>
            </w:r>
          </w:p>
        </w:tc>
      </w:tr>
    </w:tbl>
    <w:p w14:paraId="3731D2B4" w14:textId="77777777" w:rsidR="009C5662" w:rsidRPr="00EA2734" w:rsidRDefault="009C5662" w:rsidP="009C5662">
      <w:pPr>
        <w:spacing w:line="276" w:lineRule="auto"/>
        <w:rPr>
          <w:rFonts w:ascii="Arial Narrow" w:eastAsia="Calibri" w:hAnsi="Arial Narrow"/>
          <w:sz w:val="20"/>
          <w:szCs w:val="20"/>
          <w:lang w:val="en-GB"/>
        </w:rPr>
      </w:pPr>
    </w:p>
    <w:p w14:paraId="2CFFD8DA" w14:textId="715803C6" w:rsidR="00AD1A26" w:rsidRPr="00EA2734" w:rsidRDefault="004D3168" w:rsidP="009C5662">
      <w:pPr>
        <w:spacing w:after="200" w:line="276" w:lineRule="auto"/>
        <w:jc w:val="both"/>
        <w:rPr>
          <w:rFonts w:ascii="Arial Narrow" w:hAnsi="Arial Narrow" w:cs="Arial"/>
          <w:sz w:val="20"/>
          <w:szCs w:val="20"/>
          <w:lang w:val="en-GB"/>
        </w:rPr>
      </w:pPr>
      <w:r w:rsidRPr="00EA2734">
        <w:rPr>
          <w:rFonts w:ascii="Arial Narrow" w:eastAsia="Calibri" w:hAnsi="Arial Narrow"/>
          <w:sz w:val="20"/>
          <w:szCs w:val="20"/>
          <w:lang w:val="en-GB"/>
        </w:rPr>
        <w:t>The Issuer is a significant inv</w:t>
      </w:r>
      <w:r w:rsidR="00AF0BE0" w:rsidRPr="00EA2734">
        <w:rPr>
          <w:rFonts w:ascii="Arial Narrow" w:eastAsia="Calibri" w:hAnsi="Arial Narrow"/>
          <w:sz w:val="20"/>
          <w:szCs w:val="20"/>
          <w:lang w:val="en-GB"/>
        </w:rPr>
        <w:t xml:space="preserve">estor. As of 30.06.2016 Polish </w:t>
      </w:r>
      <w:proofErr w:type="spellStart"/>
      <w:r w:rsidR="00AF0BE0" w:rsidRPr="00EA2734">
        <w:rPr>
          <w:rFonts w:ascii="Arial Narrow" w:eastAsia="Calibri" w:hAnsi="Arial Narrow"/>
          <w:sz w:val="20"/>
          <w:szCs w:val="20"/>
          <w:lang w:val="en-GB"/>
        </w:rPr>
        <w:t>ePayment</w:t>
      </w:r>
      <w:proofErr w:type="spellEnd"/>
      <w:r w:rsidR="00AF0BE0" w:rsidRPr="00EA2734">
        <w:rPr>
          <w:rFonts w:ascii="Arial Narrow" w:eastAsia="Calibri" w:hAnsi="Arial Narrow"/>
          <w:sz w:val="20"/>
          <w:szCs w:val="20"/>
          <w:lang w:val="en-GB"/>
        </w:rPr>
        <w:t xml:space="preserve"> company is an affiliated entity.</w:t>
      </w:r>
    </w:p>
    <w:p w14:paraId="0D6D1E5B" w14:textId="334F4FD4" w:rsidR="009C5662" w:rsidRPr="00EA2734" w:rsidRDefault="00AF0BE0" w:rsidP="009C5662">
      <w:pPr>
        <w:spacing w:after="200" w:line="276" w:lineRule="auto"/>
        <w:jc w:val="both"/>
        <w:rPr>
          <w:rFonts w:ascii="Arial Narrow" w:hAnsi="Arial Narrow" w:cs="Arial"/>
          <w:sz w:val="20"/>
          <w:szCs w:val="20"/>
          <w:lang w:val="en-GB"/>
        </w:rPr>
      </w:pPr>
      <w:r w:rsidRPr="00EA2734">
        <w:rPr>
          <w:rFonts w:ascii="Arial Narrow" w:eastAsia="Calibri" w:hAnsi="Arial Narrow"/>
          <w:sz w:val="20"/>
          <w:szCs w:val="20"/>
          <w:lang w:val="en-GB"/>
        </w:rPr>
        <w:t xml:space="preserve">After amendments to the Articles of Association of Polish </w:t>
      </w:r>
      <w:proofErr w:type="spellStart"/>
      <w:r w:rsidRPr="00EA2734">
        <w:rPr>
          <w:rFonts w:ascii="Arial Narrow" w:eastAsia="Calibri" w:hAnsi="Arial Narrow"/>
          <w:sz w:val="20"/>
          <w:szCs w:val="20"/>
          <w:lang w:val="en-GB"/>
        </w:rPr>
        <w:t>ePayment</w:t>
      </w:r>
      <w:proofErr w:type="spellEnd"/>
      <w:r w:rsidRPr="00EA2734">
        <w:rPr>
          <w:rFonts w:ascii="Arial Narrow" w:eastAsia="Calibri" w:hAnsi="Arial Narrow"/>
          <w:sz w:val="20"/>
          <w:szCs w:val="20"/>
          <w:lang w:val="en-GB"/>
        </w:rPr>
        <w:t xml:space="preserve"> as of 20.07.2016.</w:t>
      </w:r>
    </w:p>
    <w:p w14:paraId="2E32502B" w14:textId="11CFD236" w:rsidR="009C5662" w:rsidRPr="00EA2734" w:rsidRDefault="00AF0BE0" w:rsidP="009C5662">
      <w:pPr>
        <w:spacing w:after="120" w:line="276" w:lineRule="auto"/>
        <w:jc w:val="both"/>
        <w:rPr>
          <w:rFonts w:ascii="Arial Narrow" w:eastAsia="Arial Unicode MS" w:hAnsi="Arial Narrow" w:cs="Arial Unicode MS"/>
          <w:b/>
          <w:sz w:val="20"/>
          <w:szCs w:val="20"/>
          <w:lang w:val="en-GB"/>
        </w:rPr>
      </w:pPr>
      <w:r w:rsidRPr="00EA2734">
        <w:rPr>
          <w:rFonts w:ascii="Arial Narrow" w:eastAsia="Arial Unicode MS" w:hAnsi="Arial Narrow" w:cs="Arial Unicode MS"/>
          <w:b/>
          <w:sz w:val="20"/>
          <w:szCs w:val="20"/>
          <w:lang w:val="en-GB"/>
        </w:rPr>
        <w:t xml:space="preserve">Capital ownership at Centre of Electronic Clearance Polish </w:t>
      </w:r>
      <w:proofErr w:type="spellStart"/>
      <w:r w:rsidRPr="00EA2734">
        <w:rPr>
          <w:rFonts w:ascii="Arial Narrow" w:eastAsia="Arial Unicode MS" w:hAnsi="Arial Narrow" w:cs="Arial Unicode MS"/>
          <w:b/>
          <w:sz w:val="20"/>
          <w:szCs w:val="20"/>
          <w:lang w:val="en-GB"/>
        </w:rPr>
        <w:t>ePayment</w:t>
      </w:r>
      <w:proofErr w:type="spellEnd"/>
      <w:r w:rsidRPr="00EA2734">
        <w:rPr>
          <w:rFonts w:ascii="Arial Narrow" w:eastAsia="Arial Unicode MS" w:hAnsi="Arial Narrow" w:cs="Arial Unicode MS"/>
          <w:b/>
          <w:sz w:val="20"/>
          <w:szCs w:val="20"/>
          <w:lang w:val="en-GB"/>
        </w:rPr>
        <w:t xml:space="preserve"> as of 20 July 2016</w:t>
      </w:r>
    </w:p>
    <w:tbl>
      <w:tblPr>
        <w:tblW w:w="924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76"/>
        <w:gridCol w:w="1174"/>
        <w:gridCol w:w="1094"/>
        <w:gridCol w:w="1134"/>
        <w:gridCol w:w="1185"/>
        <w:gridCol w:w="979"/>
      </w:tblGrid>
      <w:tr w:rsidR="009C5662" w:rsidRPr="00EA2734" w14:paraId="2C486580" w14:textId="77777777" w:rsidTr="009C5662">
        <w:trPr>
          <w:jc w:val="center"/>
        </w:trPr>
        <w:tc>
          <w:tcPr>
            <w:tcW w:w="3676" w:type="dxa"/>
            <w:tcBorders>
              <w:top w:val="single" w:sz="4" w:space="0" w:color="auto"/>
              <w:bottom w:val="single" w:sz="4" w:space="0" w:color="auto"/>
            </w:tcBorders>
            <w:shd w:val="clear" w:color="auto" w:fill="595959"/>
            <w:tcMar>
              <w:left w:w="0" w:type="dxa"/>
            </w:tcMar>
            <w:vAlign w:val="center"/>
          </w:tcPr>
          <w:p w14:paraId="5B3A438F" w14:textId="2F792ED8"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Description</w:t>
            </w:r>
          </w:p>
        </w:tc>
        <w:tc>
          <w:tcPr>
            <w:tcW w:w="1174" w:type="dxa"/>
            <w:tcBorders>
              <w:top w:val="single" w:sz="4" w:space="0" w:color="auto"/>
              <w:bottom w:val="single" w:sz="4" w:space="0" w:color="auto"/>
            </w:tcBorders>
            <w:shd w:val="clear" w:color="auto" w:fill="595959"/>
            <w:vAlign w:val="center"/>
          </w:tcPr>
          <w:p w14:paraId="653E98CB" w14:textId="4B73F297"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Number of shares</w:t>
            </w:r>
          </w:p>
        </w:tc>
        <w:tc>
          <w:tcPr>
            <w:tcW w:w="1094" w:type="dxa"/>
            <w:tcBorders>
              <w:top w:val="single" w:sz="4" w:space="0" w:color="auto"/>
              <w:bottom w:val="single" w:sz="4" w:space="0" w:color="auto"/>
            </w:tcBorders>
            <w:shd w:val="clear" w:color="auto" w:fill="595959"/>
            <w:vAlign w:val="center"/>
          </w:tcPr>
          <w:p w14:paraId="2D788767" w14:textId="7345BB04"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Number of votes</w:t>
            </w:r>
          </w:p>
        </w:tc>
        <w:tc>
          <w:tcPr>
            <w:tcW w:w="1134" w:type="dxa"/>
            <w:tcBorders>
              <w:top w:val="single" w:sz="4" w:space="0" w:color="auto"/>
              <w:bottom w:val="single" w:sz="4" w:space="0" w:color="auto"/>
            </w:tcBorders>
            <w:shd w:val="clear" w:color="auto" w:fill="595959"/>
          </w:tcPr>
          <w:p w14:paraId="03EF443A" w14:textId="74483609"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Share of votes at the GMS</w:t>
            </w:r>
            <w:r w:rsidR="009C5662" w:rsidRPr="00EA2734">
              <w:rPr>
                <w:rFonts w:ascii="Arial Narrow" w:hAnsi="Arial Narrow" w:cs="Arial Narrow"/>
                <w:b/>
                <w:bCs/>
                <w:color w:val="FFFFFF"/>
                <w:sz w:val="20"/>
                <w:szCs w:val="20"/>
                <w:lang w:val="en-GB"/>
              </w:rPr>
              <w:t xml:space="preserve"> (%)</w:t>
            </w:r>
          </w:p>
        </w:tc>
        <w:tc>
          <w:tcPr>
            <w:tcW w:w="1185" w:type="dxa"/>
            <w:tcBorders>
              <w:top w:val="single" w:sz="4" w:space="0" w:color="auto"/>
              <w:bottom w:val="single" w:sz="4" w:space="0" w:color="auto"/>
            </w:tcBorders>
            <w:shd w:val="clear" w:color="auto" w:fill="595959"/>
            <w:vAlign w:val="center"/>
          </w:tcPr>
          <w:p w14:paraId="0D191554" w14:textId="763898D8"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Share nominal value</w:t>
            </w:r>
          </w:p>
        </w:tc>
        <w:tc>
          <w:tcPr>
            <w:tcW w:w="979" w:type="dxa"/>
            <w:tcBorders>
              <w:top w:val="single" w:sz="4" w:space="0" w:color="auto"/>
              <w:bottom w:val="single" w:sz="4" w:space="0" w:color="auto"/>
            </w:tcBorders>
            <w:shd w:val="clear" w:color="auto" w:fill="595959"/>
          </w:tcPr>
          <w:p w14:paraId="1653EA18" w14:textId="3637D918" w:rsidR="009C5662" w:rsidRPr="00EA2734" w:rsidRDefault="00AF0BE0" w:rsidP="00EE3BFD">
            <w:pPr>
              <w:shd w:val="clear" w:color="FFFFFF" w:fill="595959"/>
              <w:jc w:val="center"/>
              <w:rPr>
                <w:rFonts w:ascii="Arial Narrow" w:hAnsi="Arial Narrow" w:cs="Arial Narrow"/>
                <w:b/>
                <w:bCs/>
                <w:color w:val="FFFFFF"/>
                <w:sz w:val="20"/>
                <w:szCs w:val="20"/>
                <w:lang w:val="en-GB"/>
              </w:rPr>
            </w:pPr>
            <w:r w:rsidRPr="00EA2734">
              <w:rPr>
                <w:rFonts w:ascii="Arial Narrow" w:hAnsi="Arial Narrow" w:cs="Arial Narrow"/>
                <w:b/>
                <w:bCs/>
                <w:color w:val="FFFFFF"/>
                <w:sz w:val="20"/>
                <w:szCs w:val="20"/>
                <w:lang w:val="en-GB"/>
              </w:rPr>
              <w:t>Share in equity</w:t>
            </w:r>
            <w:r w:rsidR="009C5662" w:rsidRPr="00EA2734">
              <w:rPr>
                <w:rFonts w:ascii="Arial Narrow" w:hAnsi="Arial Narrow" w:cs="Arial Narrow"/>
                <w:b/>
                <w:bCs/>
                <w:color w:val="FFFFFF"/>
                <w:sz w:val="20"/>
                <w:szCs w:val="20"/>
                <w:lang w:val="en-GB"/>
              </w:rPr>
              <w:t xml:space="preserve"> (%)</w:t>
            </w:r>
          </w:p>
        </w:tc>
      </w:tr>
      <w:tr w:rsidR="009C5662" w:rsidRPr="00EA2734" w14:paraId="739ACC3E" w14:textId="77777777" w:rsidTr="009C5662">
        <w:trPr>
          <w:trHeight w:val="479"/>
          <w:jc w:val="center"/>
        </w:trPr>
        <w:tc>
          <w:tcPr>
            <w:tcW w:w="3676" w:type="dxa"/>
            <w:tcBorders>
              <w:top w:val="single" w:sz="4" w:space="0" w:color="auto"/>
            </w:tcBorders>
            <w:tcMar>
              <w:left w:w="200" w:type="dxa"/>
            </w:tcMar>
            <w:vAlign w:val="center"/>
          </w:tcPr>
          <w:p w14:paraId="706A9D9D" w14:textId="77777777" w:rsidR="009C5662" w:rsidRPr="00EA2734" w:rsidRDefault="009C5662" w:rsidP="00EE3BFD">
            <w:pPr>
              <w:spacing w:after="60"/>
              <w:ind w:left="57"/>
              <w:rPr>
                <w:rFonts w:ascii="Arial Narrow" w:hAnsi="Arial Narrow" w:cs="Arial Narrow"/>
                <w:sz w:val="20"/>
                <w:szCs w:val="20"/>
                <w:lang w:val="en-GB"/>
              </w:rPr>
            </w:pPr>
            <w:proofErr w:type="spellStart"/>
            <w:r w:rsidRPr="00EA2734">
              <w:rPr>
                <w:rFonts w:ascii="Arial Narrow" w:hAnsi="Arial Narrow" w:cs="Arial Narrow"/>
                <w:sz w:val="20"/>
                <w:szCs w:val="20"/>
                <w:lang w:val="en-GB"/>
              </w:rPr>
              <w:t>OPTeam</w:t>
            </w:r>
            <w:proofErr w:type="spellEnd"/>
            <w:r w:rsidRPr="00EA2734">
              <w:rPr>
                <w:rFonts w:ascii="Arial Narrow" w:hAnsi="Arial Narrow" w:cs="Arial Narrow"/>
                <w:sz w:val="20"/>
                <w:szCs w:val="20"/>
                <w:lang w:val="en-GB"/>
              </w:rPr>
              <w:t xml:space="preserve"> S.A.</w:t>
            </w:r>
          </w:p>
        </w:tc>
        <w:tc>
          <w:tcPr>
            <w:tcW w:w="1174" w:type="dxa"/>
            <w:tcBorders>
              <w:top w:val="single" w:sz="4" w:space="0" w:color="auto"/>
            </w:tcBorders>
            <w:vAlign w:val="center"/>
          </w:tcPr>
          <w:p w14:paraId="452D8021"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7 096 053</w:t>
            </w:r>
          </w:p>
        </w:tc>
        <w:tc>
          <w:tcPr>
            <w:tcW w:w="1094" w:type="dxa"/>
            <w:tcBorders>
              <w:top w:val="single" w:sz="4" w:space="0" w:color="auto"/>
            </w:tcBorders>
            <w:vAlign w:val="center"/>
          </w:tcPr>
          <w:p w14:paraId="7D9941A2"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7 096 053</w:t>
            </w:r>
          </w:p>
        </w:tc>
        <w:tc>
          <w:tcPr>
            <w:tcW w:w="1134" w:type="dxa"/>
            <w:tcBorders>
              <w:top w:val="single" w:sz="4" w:space="0" w:color="auto"/>
            </w:tcBorders>
            <w:vAlign w:val="center"/>
          </w:tcPr>
          <w:p w14:paraId="7B77E746" w14:textId="019F2554"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25</w:t>
            </w:r>
            <w:r w:rsidR="00742B9B" w:rsidRPr="00EA2734">
              <w:rPr>
                <w:rFonts w:ascii="Arial Narrow" w:hAnsi="Arial Narrow"/>
                <w:bCs/>
                <w:color w:val="000000"/>
                <w:sz w:val="20"/>
                <w:szCs w:val="20"/>
                <w:lang w:val="en-GB"/>
              </w:rPr>
              <w:t>.</w:t>
            </w:r>
            <w:r w:rsidRPr="00EA2734">
              <w:rPr>
                <w:rFonts w:ascii="Arial Narrow" w:hAnsi="Arial Narrow"/>
                <w:bCs/>
                <w:color w:val="000000"/>
                <w:sz w:val="20"/>
                <w:szCs w:val="20"/>
                <w:lang w:val="en-GB"/>
              </w:rPr>
              <w:t>00%</w:t>
            </w:r>
          </w:p>
        </w:tc>
        <w:tc>
          <w:tcPr>
            <w:tcW w:w="1185" w:type="dxa"/>
            <w:tcBorders>
              <w:top w:val="single" w:sz="4" w:space="0" w:color="auto"/>
            </w:tcBorders>
            <w:vAlign w:val="center"/>
          </w:tcPr>
          <w:p w14:paraId="41F05959"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7 096 053</w:t>
            </w:r>
          </w:p>
        </w:tc>
        <w:tc>
          <w:tcPr>
            <w:tcW w:w="979" w:type="dxa"/>
            <w:tcBorders>
              <w:top w:val="single" w:sz="4" w:space="0" w:color="auto"/>
            </w:tcBorders>
            <w:vAlign w:val="center"/>
          </w:tcPr>
          <w:p w14:paraId="3CA07AFB" w14:textId="1501827E"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25</w:t>
            </w:r>
            <w:r w:rsidR="00742B9B" w:rsidRPr="00EA2734">
              <w:rPr>
                <w:rFonts w:ascii="Arial Narrow" w:hAnsi="Arial Narrow"/>
                <w:bCs/>
                <w:color w:val="000000"/>
                <w:sz w:val="20"/>
                <w:szCs w:val="20"/>
                <w:lang w:val="en-GB"/>
              </w:rPr>
              <w:t>.</w:t>
            </w:r>
            <w:r w:rsidRPr="00EA2734">
              <w:rPr>
                <w:rFonts w:ascii="Arial Narrow" w:hAnsi="Arial Narrow"/>
                <w:bCs/>
                <w:color w:val="000000"/>
                <w:sz w:val="20"/>
                <w:szCs w:val="20"/>
                <w:lang w:val="en-GB"/>
              </w:rPr>
              <w:t>00%</w:t>
            </w:r>
          </w:p>
        </w:tc>
      </w:tr>
      <w:tr w:rsidR="009C5662" w:rsidRPr="00EA2734" w14:paraId="7854B60D" w14:textId="77777777" w:rsidTr="009C5662">
        <w:trPr>
          <w:trHeight w:val="413"/>
          <w:jc w:val="center"/>
        </w:trPr>
        <w:tc>
          <w:tcPr>
            <w:tcW w:w="3676" w:type="dxa"/>
            <w:tcMar>
              <w:left w:w="200" w:type="dxa"/>
            </w:tcMar>
            <w:vAlign w:val="center"/>
          </w:tcPr>
          <w:p w14:paraId="149A574B" w14:textId="77777777" w:rsidR="009C5662" w:rsidRPr="00EA2734" w:rsidRDefault="009C5662" w:rsidP="00EE3BFD">
            <w:pPr>
              <w:spacing w:after="60"/>
              <w:ind w:left="57"/>
              <w:rPr>
                <w:rFonts w:ascii="Arial Narrow" w:hAnsi="Arial Narrow" w:cs="Arial Narrow"/>
                <w:sz w:val="20"/>
                <w:szCs w:val="20"/>
                <w:lang w:val="en-GB"/>
              </w:rPr>
            </w:pPr>
            <w:r w:rsidRPr="00EA2734">
              <w:rPr>
                <w:rFonts w:ascii="Arial Narrow" w:eastAsia="Arial Unicode MS" w:hAnsi="Arial Narrow" w:cs="Arial Unicode MS"/>
                <w:sz w:val="20"/>
                <w:szCs w:val="20"/>
                <w:lang w:val="en-GB"/>
              </w:rPr>
              <w:t xml:space="preserve">INNOVA. </w:t>
            </w:r>
          </w:p>
        </w:tc>
        <w:tc>
          <w:tcPr>
            <w:tcW w:w="1174" w:type="dxa"/>
            <w:vAlign w:val="center"/>
          </w:tcPr>
          <w:p w14:paraId="001399F6"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21 288 157</w:t>
            </w:r>
          </w:p>
        </w:tc>
        <w:tc>
          <w:tcPr>
            <w:tcW w:w="1094" w:type="dxa"/>
            <w:vAlign w:val="center"/>
          </w:tcPr>
          <w:p w14:paraId="0B06314F"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21 288 157</w:t>
            </w:r>
          </w:p>
        </w:tc>
        <w:tc>
          <w:tcPr>
            <w:tcW w:w="1134" w:type="dxa"/>
            <w:vAlign w:val="center"/>
          </w:tcPr>
          <w:p w14:paraId="079E6D5C" w14:textId="3D9A6A26"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75</w:t>
            </w:r>
            <w:r w:rsidR="00742B9B" w:rsidRPr="00EA2734">
              <w:rPr>
                <w:rFonts w:ascii="Arial Narrow" w:hAnsi="Arial Narrow"/>
                <w:bCs/>
                <w:color w:val="000000"/>
                <w:sz w:val="20"/>
                <w:szCs w:val="20"/>
                <w:lang w:val="en-GB"/>
              </w:rPr>
              <w:t>.</w:t>
            </w:r>
            <w:r w:rsidRPr="00EA2734">
              <w:rPr>
                <w:rFonts w:ascii="Arial Narrow" w:hAnsi="Arial Narrow"/>
                <w:bCs/>
                <w:color w:val="000000"/>
                <w:sz w:val="20"/>
                <w:szCs w:val="20"/>
                <w:lang w:val="en-GB"/>
              </w:rPr>
              <w:t>00%</w:t>
            </w:r>
          </w:p>
        </w:tc>
        <w:tc>
          <w:tcPr>
            <w:tcW w:w="1185" w:type="dxa"/>
            <w:vAlign w:val="center"/>
          </w:tcPr>
          <w:p w14:paraId="63D61265" w14:textId="77777777"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21 288 157</w:t>
            </w:r>
          </w:p>
        </w:tc>
        <w:tc>
          <w:tcPr>
            <w:tcW w:w="979" w:type="dxa"/>
            <w:vAlign w:val="center"/>
          </w:tcPr>
          <w:p w14:paraId="268C8846" w14:textId="24E3D18C" w:rsidR="009C5662" w:rsidRPr="00EA2734" w:rsidRDefault="009C5662" w:rsidP="00EE3BFD">
            <w:pPr>
              <w:jc w:val="right"/>
              <w:rPr>
                <w:rFonts w:ascii="Arial Narrow" w:hAnsi="Arial Narrow"/>
                <w:bCs/>
                <w:color w:val="000000"/>
                <w:sz w:val="20"/>
                <w:szCs w:val="20"/>
                <w:lang w:val="en-GB"/>
              </w:rPr>
            </w:pPr>
            <w:r w:rsidRPr="00EA2734">
              <w:rPr>
                <w:rFonts w:ascii="Arial Narrow" w:hAnsi="Arial Narrow"/>
                <w:bCs/>
                <w:color w:val="000000"/>
                <w:sz w:val="20"/>
                <w:szCs w:val="20"/>
                <w:lang w:val="en-GB"/>
              </w:rPr>
              <w:t>75</w:t>
            </w:r>
            <w:r w:rsidR="00742B9B" w:rsidRPr="00EA2734">
              <w:rPr>
                <w:rFonts w:ascii="Arial Narrow" w:hAnsi="Arial Narrow"/>
                <w:bCs/>
                <w:color w:val="000000"/>
                <w:sz w:val="20"/>
                <w:szCs w:val="20"/>
                <w:lang w:val="en-GB"/>
              </w:rPr>
              <w:t>.</w:t>
            </w:r>
            <w:r w:rsidRPr="00EA2734">
              <w:rPr>
                <w:rFonts w:ascii="Arial Narrow" w:hAnsi="Arial Narrow"/>
                <w:bCs/>
                <w:color w:val="000000"/>
                <w:sz w:val="20"/>
                <w:szCs w:val="20"/>
                <w:lang w:val="en-GB"/>
              </w:rPr>
              <w:t>00%</w:t>
            </w:r>
          </w:p>
        </w:tc>
      </w:tr>
      <w:tr w:rsidR="009C5662" w:rsidRPr="00EA2734" w14:paraId="4DE0F6D6" w14:textId="77777777" w:rsidTr="009C5662">
        <w:trPr>
          <w:trHeight w:val="445"/>
          <w:jc w:val="center"/>
        </w:trPr>
        <w:tc>
          <w:tcPr>
            <w:tcW w:w="3676" w:type="dxa"/>
            <w:tcMar>
              <w:left w:w="200" w:type="dxa"/>
            </w:tcMar>
            <w:vAlign w:val="center"/>
          </w:tcPr>
          <w:p w14:paraId="64D8FBA5" w14:textId="2CD74128" w:rsidR="009C5662" w:rsidRPr="00EA2734" w:rsidRDefault="00AF0BE0" w:rsidP="00EE3BFD">
            <w:pPr>
              <w:spacing w:after="60"/>
              <w:ind w:left="57"/>
              <w:rPr>
                <w:rFonts w:ascii="Arial Narrow" w:hAnsi="Arial Narrow" w:cs="Arial Narrow"/>
                <w:b/>
                <w:sz w:val="20"/>
                <w:szCs w:val="20"/>
                <w:lang w:val="en-GB"/>
              </w:rPr>
            </w:pPr>
            <w:r w:rsidRPr="00EA2734">
              <w:rPr>
                <w:rFonts w:ascii="Arial Narrow" w:hAnsi="Arial Narrow" w:cs="Arial Narrow"/>
                <w:b/>
                <w:sz w:val="20"/>
                <w:szCs w:val="20"/>
                <w:lang w:val="en-GB"/>
              </w:rPr>
              <w:t>Total</w:t>
            </w:r>
          </w:p>
        </w:tc>
        <w:tc>
          <w:tcPr>
            <w:tcW w:w="1174" w:type="dxa"/>
            <w:vAlign w:val="center"/>
          </w:tcPr>
          <w:p w14:paraId="733ACA92" w14:textId="77777777" w:rsidR="009C5662" w:rsidRPr="00EA2734" w:rsidRDefault="009C5662" w:rsidP="00EE3BFD">
            <w:pPr>
              <w:jc w:val="right"/>
              <w:rPr>
                <w:rFonts w:ascii="Arial Narrow" w:hAnsi="Arial Narrow"/>
                <w:b/>
                <w:bCs/>
                <w:color w:val="000000"/>
                <w:sz w:val="20"/>
                <w:szCs w:val="20"/>
                <w:lang w:val="en-GB"/>
              </w:rPr>
            </w:pPr>
            <w:r w:rsidRPr="00EA2734">
              <w:rPr>
                <w:rFonts w:ascii="Arial Narrow" w:hAnsi="Arial Narrow"/>
                <w:b/>
                <w:bCs/>
                <w:color w:val="000000"/>
                <w:sz w:val="20"/>
                <w:szCs w:val="20"/>
                <w:lang w:val="en-GB"/>
              </w:rPr>
              <w:t>28 384 210</w:t>
            </w:r>
          </w:p>
        </w:tc>
        <w:tc>
          <w:tcPr>
            <w:tcW w:w="1094" w:type="dxa"/>
            <w:vAlign w:val="center"/>
          </w:tcPr>
          <w:p w14:paraId="317A36E1" w14:textId="77777777" w:rsidR="009C5662" w:rsidRPr="00EA2734" w:rsidRDefault="009C5662" w:rsidP="00EE3BFD">
            <w:pPr>
              <w:jc w:val="right"/>
              <w:rPr>
                <w:rFonts w:ascii="Arial Narrow" w:hAnsi="Arial Narrow"/>
                <w:b/>
                <w:bCs/>
                <w:color w:val="000000"/>
                <w:sz w:val="20"/>
                <w:szCs w:val="20"/>
                <w:lang w:val="en-GB"/>
              </w:rPr>
            </w:pPr>
            <w:r w:rsidRPr="00EA2734">
              <w:rPr>
                <w:rFonts w:ascii="Arial Narrow" w:hAnsi="Arial Narrow"/>
                <w:b/>
                <w:bCs/>
                <w:color w:val="000000"/>
                <w:sz w:val="20"/>
                <w:szCs w:val="20"/>
                <w:lang w:val="en-GB"/>
              </w:rPr>
              <w:t>28 384 210</w:t>
            </w:r>
          </w:p>
        </w:tc>
        <w:tc>
          <w:tcPr>
            <w:tcW w:w="1134" w:type="dxa"/>
            <w:vAlign w:val="center"/>
          </w:tcPr>
          <w:p w14:paraId="389828AF" w14:textId="1189138D" w:rsidR="009C5662" w:rsidRPr="00EA2734" w:rsidRDefault="009C5662" w:rsidP="00EE3BFD">
            <w:pPr>
              <w:jc w:val="right"/>
              <w:rPr>
                <w:rFonts w:ascii="Arial Narrow" w:hAnsi="Arial Narrow"/>
                <w:b/>
                <w:bCs/>
                <w:color w:val="000000"/>
                <w:sz w:val="20"/>
                <w:szCs w:val="20"/>
                <w:lang w:val="en-GB"/>
              </w:rPr>
            </w:pPr>
            <w:r w:rsidRPr="00EA2734">
              <w:rPr>
                <w:rFonts w:ascii="Arial Narrow" w:hAnsi="Arial Narrow"/>
                <w:b/>
                <w:bCs/>
                <w:color w:val="000000"/>
                <w:sz w:val="20"/>
                <w:szCs w:val="20"/>
                <w:lang w:val="en-GB"/>
              </w:rPr>
              <w:t>100</w:t>
            </w:r>
            <w:r w:rsidR="00742B9B" w:rsidRPr="00EA2734">
              <w:rPr>
                <w:rFonts w:ascii="Arial Narrow" w:hAnsi="Arial Narrow"/>
                <w:b/>
                <w:bCs/>
                <w:color w:val="000000"/>
                <w:sz w:val="20"/>
                <w:szCs w:val="20"/>
                <w:lang w:val="en-GB"/>
              </w:rPr>
              <w:t>.</w:t>
            </w:r>
            <w:r w:rsidRPr="00EA2734">
              <w:rPr>
                <w:rFonts w:ascii="Arial Narrow" w:hAnsi="Arial Narrow"/>
                <w:b/>
                <w:bCs/>
                <w:color w:val="000000"/>
                <w:sz w:val="20"/>
                <w:szCs w:val="20"/>
                <w:lang w:val="en-GB"/>
              </w:rPr>
              <w:t>00%</w:t>
            </w:r>
          </w:p>
        </w:tc>
        <w:tc>
          <w:tcPr>
            <w:tcW w:w="1185" w:type="dxa"/>
            <w:vAlign w:val="center"/>
          </w:tcPr>
          <w:p w14:paraId="405D9E56" w14:textId="77777777" w:rsidR="009C5662" w:rsidRPr="00EA2734" w:rsidRDefault="009C5662" w:rsidP="00EE3BFD">
            <w:pPr>
              <w:jc w:val="right"/>
              <w:rPr>
                <w:rFonts w:ascii="Arial Narrow" w:hAnsi="Arial Narrow"/>
                <w:b/>
                <w:bCs/>
                <w:color w:val="000000"/>
                <w:sz w:val="20"/>
                <w:szCs w:val="20"/>
                <w:lang w:val="en-GB"/>
              </w:rPr>
            </w:pPr>
            <w:r w:rsidRPr="00EA2734">
              <w:rPr>
                <w:rFonts w:ascii="Arial Narrow" w:hAnsi="Arial Narrow"/>
                <w:b/>
                <w:bCs/>
                <w:color w:val="000000"/>
                <w:sz w:val="20"/>
                <w:szCs w:val="20"/>
                <w:lang w:val="en-GB"/>
              </w:rPr>
              <w:t>28 384 210</w:t>
            </w:r>
          </w:p>
        </w:tc>
        <w:tc>
          <w:tcPr>
            <w:tcW w:w="979" w:type="dxa"/>
            <w:vAlign w:val="center"/>
          </w:tcPr>
          <w:p w14:paraId="62901E22" w14:textId="1F7CA01E" w:rsidR="009C5662" w:rsidRPr="00EA2734" w:rsidRDefault="009C5662" w:rsidP="00EE3BFD">
            <w:pPr>
              <w:jc w:val="right"/>
              <w:rPr>
                <w:rFonts w:ascii="Arial Narrow" w:hAnsi="Arial Narrow"/>
                <w:b/>
                <w:bCs/>
                <w:color w:val="000000"/>
                <w:sz w:val="20"/>
                <w:szCs w:val="20"/>
                <w:lang w:val="en-GB"/>
              </w:rPr>
            </w:pPr>
            <w:r w:rsidRPr="00EA2734">
              <w:rPr>
                <w:rFonts w:ascii="Arial Narrow" w:hAnsi="Arial Narrow"/>
                <w:b/>
                <w:bCs/>
                <w:color w:val="000000"/>
                <w:sz w:val="20"/>
                <w:szCs w:val="20"/>
                <w:lang w:val="en-GB"/>
              </w:rPr>
              <w:t>100</w:t>
            </w:r>
            <w:r w:rsidR="00742B9B" w:rsidRPr="00EA2734">
              <w:rPr>
                <w:rFonts w:ascii="Arial Narrow" w:hAnsi="Arial Narrow"/>
                <w:b/>
                <w:bCs/>
                <w:color w:val="000000"/>
                <w:sz w:val="20"/>
                <w:szCs w:val="20"/>
                <w:lang w:val="en-GB"/>
              </w:rPr>
              <w:t>.</w:t>
            </w:r>
            <w:r w:rsidRPr="00EA2734">
              <w:rPr>
                <w:rFonts w:ascii="Arial Narrow" w:hAnsi="Arial Narrow"/>
                <w:b/>
                <w:bCs/>
                <w:color w:val="000000"/>
                <w:sz w:val="20"/>
                <w:szCs w:val="20"/>
                <w:lang w:val="en-GB"/>
              </w:rPr>
              <w:t>00%</w:t>
            </w:r>
          </w:p>
        </w:tc>
      </w:tr>
    </w:tbl>
    <w:p w14:paraId="7A884FC4" w14:textId="77777777" w:rsidR="009C5662" w:rsidRPr="00EA2734" w:rsidRDefault="009C5662" w:rsidP="002A6C67">
      <w:pPr>
        <w:jc w:val="both"/>
        <w:rPr>
          <w:rFonts w:ascii="Arial Narrow" w:hAnsi="Arial Narrow" w:cs="Arial"/>
          <w:sz w:val="22"/>
          <w:szCs w:val="22"/>
          <w:lang w:val="en-GB"/>
        </w:rPr>
      </w:pPr>
    </w:p>
    <w:p w14:paraId="74D1CC86" w14:textId="6CC017CA" w:rsidR="00B11850" w:rsidRPr="00EA2734" w:rsidRDefault="00B0363B" w:rsidP="00D2286E">
      <w:pPr>
        <w:pStyle w:val="MsrParagraph"/>
        <w:spacing w:line="276" w:lineRule="auto"/>
        <w:ind w:firstLine="0"/>
        <w:rPr>
          <w:sz w:val="20"/>
          <w:szCs w:val="20"/>
          <w:lang w:val="en-GB"/>
        </w:rPr>
      </w:pPr>
      <w:r w:rsidRPr="00EA2734">
        <w:rPr>
          <w:sz w:val="20"/>
          <w:szCs w:val="20"/>
          <w:lang w:val="en-GB"/>
        </w:rPr>
        <w:t>The Issuer is not a dominant unit and does not draw up consolidated statements.</w:t>
      </w:r>
    </w:p>
    <w:p w14:paraId="2FA02259" w14:textId="77777777" w:rsidR="00506B0D" w:rsidRPr="00EA2734" w:rsidRDefault="00506B0D" w:rsidP="00B11850">
      <w:pPr>
        <w:autoSpaceDE w:val="0"/>
        <w:autoSpaceDN w:val="0"/>
        <w:adjustRightInd w:val="0"/>
        <w:jc w:val="both"/>
        <w:rPr>
          <w:rFonts w:ascii="Arial Narrow" w:eastAsia="Arial Unicode MS" w:hAnsi="Arial Narrow" w:cs="Arial Unicode MS"/>
          <w:sz w:val="20"/>
          <w:szCs w:val="20"/>
          <w:lang w:val="en-GB"/>
        </w:rPr>
      </w:pPr>
    </w:p>
    <w:p w14:paraId="02122831" w14:textId="205D86BD" w:rsidR="00D2286E" w:rsidRPr="00EA2734" w:rsidRDefault="00B0363B" w:rsidP="00B0363B">
      <w:pPr>
        <w:pStyle w:val="MsrParagraph"/>
        <w:spacing w:line="276" w:lineRule="auto"/>
        <w:rPr>
          <w:sz w:val="20"/>
          <w:szCs w:val="20"/>
          <w:lang w:val="en-GB"/>
        </w:rPr>
      </w:pPr>
      <w:r w:rsidRPr="00EA2734">
        <w:rPr>
          <w:sz w:val="20"/>
          <w:szCs w:val="20"/>
          <w:lang w:val="en-GB"/>
        </w:rPr>
        <w:t xml:space="preserve">Core business of </w:t>
      </w:r>
      <w:proofErr w:type="spellStart"/>
      <w:r w:rsidRPr="00EA2734">
        <w:rPr>
          <w:sz w:val="20"/>
          <w:szCs w:val="20"/>
          <w:lang w:val="en-GB"/>
        </w:rPr>
        <w:t>PeP</w:t>
      </w:r>
      <w:proofErr w:type="spellEnd"/>
      <w:r w:rsidRPr="00EA2734">
        <w:rPr>
          <w:sz w:val="20"/>
          <w:szCs w:val="20"/>
          <w:lang w:val="en-GB"/>
        </w:rPr>
        <w:t xml:space="preserve"> S.A. includes processing transactions with payment cards at POS terminals. The service is provided jointly with Bank BPH, which acts as a clearing agent pursuant to the law provisions in force. Moreover, the Company provides the option of selling GSM phone credits, running customer loyalty programmes or paying bills.</w:t>
      </w:r>
    </w:p>
    <w:p w14:paraId="3F06B8EF" w14:textId="77777777" w:rsidR="004D3168" w:rsidRPr="00EA2734" w:rsidRDefault="004D3168" w:rsidP="004D3168">
      <w:pPr>
        <w:rPr>
          <w:lang w:val="en-GB"/>
        </w:rPr>
      </w:pPr>
    </w:p>
    <w:p w14:paraId="5D4D51C0" w14:textId="3DF72556" w:rsidR="0012031A" w:rsidRPr="00EA2734" w:rsidRDefault="007607EE" w:rsidP="002A6C67">
      <w:pPr>
        <w:widowControl w:val="0"/>
        <w:numPr>
          <w:ilvl w:val="0"/>
          <w:numId w:val="26"/>
        </w:numPr>
        <w:autoSpaceDE w:val="0"/>
        <w:autoSpaceDN w:val="0"/>
        <w:adjustRightInd w:val="0"/>
        <w:spacing w:after="120" w:line="360" w:lineRule="auto"/>
        <w:ind w:left="284" w:hanging="284"/>
        <w:jc w:val="both"/>
        <w:rPr>
          <w:rFonts w:ascii="Arial Narrow" w:hAnsi="Arial Narrow" w:cs="Arial"/>
          <w:b/>
          <w:sz w:val="20"/>
          <w:szCs w:val="20"/>
          <w:lang w:val="en-GB"/>
        </w:rPr>
      </w:pPr>
      <w:r w:rsidRPr="00EA2734">
        <w:rPr>
          <w:rFonts w:ascii="Arial Narrow" w:hAnsi="Arial Narrow" w:cs="Arial"/>
          <w:b/>
          <w:sz w:val="20"/>
          <w:szCs w:val="20"/>
          <w:lang w:val="en-GB"/>
        </w:rPr>
        <w:t>Composition of the Issuer’</w:t>
      </w:r>
      <w:r w:rsidR="004D3168" w:rsidRPr="00EA2734">
        <w:rPr>
          <w:rFonts w:ascii="Arial Narrow" w:hAnsi="Arial Narrow" w:cs="Arial"/>
          <w:b/>
          <w:sz w:val="20"/>
          <w:szCs w:val="20"/>
          <w:lang w:val="en-GB"/>
        </w:rPr>
        <w:t>s statutory bodies in H1 of 2016</w:t>
      </w:r>
      <w:r w:rsidRPr="00EA2734">
        <w:rPr>
          <w:rFonts w:ascii="Arial Narrow" w:hAnsi="Arial Narrow" w:cs="Arial"/>
          <w:b/>
          <w:sz w:val="20"/>
          <w:szCs w:val="20"/>
          <w:lang w:val="en-GB"/>
        </w:rPr>
        <w:t>:</w:t>
      </w:r>
    </w:p>
    <w:p w14:paraId="6D5DA304" w14:textId="76C8D3A4" w:rsidR="0012031A" w:rsidRPr="00EA2734" w:rsidRDefault="004D3168" w:rsidP="0012031A">
      <w:pPr>
        <w:widowControl w:val="0"/>
        <w:autoSpaceDE w:val="0"/>
        <w:autoSpaceDN w:val="0"/>
        <w:adjustRightInd w:val="0"/>
        <w:spacing w:after="120"/>
        <w:jc w:val="both"/>
        <w:rPr>
          <w:rFonts w:ascii="Arial Narrow" w:hAnsi="Arial Narrow" w:cs="Arial"/>
          <w:b/>
          <w:sz w:val="20"/>
          <w:szCs w:val="20"/>
          <w:lang w:val="en-GB"/>
        </w:rPr>
      </w:pPr>
      <w:r w:rsidRPr="00EA2734">
        <w:rPr>
          <w:rFonts w:ascii="Arial Narrow" w:hAnsi="Arial Narrow" w:cs="Arial"/>
          <w:b/>
          <w:sz w:val="20"/>
          <w:szCs w:val="20"/>
          <w:lang w:val="en-GB"/>
        </w:rPr>
        <w:t>The Su</w:t>
      </w:r>
      <w:r w:rsidR="007607EE" w:rsidRPr="00EA2734">
        <w:rPr>
          <w:rFonts w:ascii="Arial Narrow" w:hAnsi="Arial Narrow" w:cs="Arial"/>
          <w:b/>
          <w:sz w:val="20"/>
          <w:szCs w:val="20"/>
          <w:lang w:val="en-GB"/>
        </w:rPr>
        <w:t xml:space="preserve">pervisory Board of </w:t>
      </w:r>
      <w:proofErr w:type="spellStart"/>
      <w:r w:rsidR="007607EE" w:rsidRPr="00EA2734">
        <w:rPr>
          <w:rFonts w:ascii="Arial Narrow" w:hAnsi="Arial Narrow" w:cs="Arial"/>
          <w:b/>
          <w:sz w:val="20"/>
          <w:szCs w:val="20"/>
          <w:lang w:val="en-GB"/>
        </w:rPr>
        <w:t>OPTeam</w:t>
      </w:r>
      <w:proofErr w:type="spellEnd"/>
      <w:r w:rsidR="007607EE" w:rsidRPr="00EA2734">
        <w:rPr>
          <w:rFonts w:ascii="Arial Narrow" w:hAnsi="Arial Narrow" w:cs="Arial"/>
          <w:b/>
          <w:sz w:val="20"/>
          <w:szCs w:val="20"/>
          <w:lang w:val="en-GB"/>
        </w:rPr>
        <w:t xml:space="preserve"> SA</w:t>
      </w:r>
    </w:p>
    <w:p w14:paraId="3C43BAC7" w14:textId="77777777" w:rsidR="00E40E4D" w:rsidRPr="00EA2734" w:rsidRDefault="00E40E4D" w:rsidP="002A6C67">
      <w:pPr>
        <w:jc w:val="both"/>
        <w:rPr>
          <w:rFonts w:ascii="Arial Narrow" w:hAnsi="Arial Narrow" w:cs="Arial"/>
          <w:sz w:val="20"/>
          <w:szCs w:val="20"/>
          <w:lang w:val="en-GB"/>
        </w:rPr>
      </w:pPr>
    </w:p>
    <w:tbl>
      <w:tblPr>
        <w:tblW w:w="0" w:type="auto"/>
        <w:tblInd w:w="-147" w:type="dxa"/>
        <w:tblLayout w:type="fixed"/>
        <w:tblLook w:val="01E0" w:firstRow="1" w:lastRow="1" w:firstColumn="1" w:lastColumn="1" w:noHBand="0" w:noVBand="0"/>
      </w:tblPr>
      <w:tblGrid>
        <w:gridCol w:w="2835"/>
        <w:gridCol w:w="5837"/>
      </w:tblGrid>
      <w:tr w:rsidR="00E40E4D" w:rsidRPr="00EA2734" w14:paraId="04367D91" w14:textId="77777777" w:rsidTr="00E40E4D">
        <w:trPr>
          <w:trHeight w:val="304"/>
        </w:trPr>
        <w:tc>
          <w:tcPr>
            <w:tcW w:w="2835" w:type="dxa"/>
          </w:tcPr>
          <w:p w14:paraId="0D61348B" w14:textId="77777777" w:rsidR="00E40E4D" w:rsidRPr="00EA2734" w:rsidRDefault="00E40E4D" w:rsidP="002A6C67">
            <w:pPr>
              <w:jc w:val="both"/>
              <w:rPr>
                <w:rFonts w:ascii="Arial Narrow" w:hAnsi="Arial Narrow" w:cs="Arial"/>
                <w:sz w:val="20"/>
                <w:szCs w:val="20"/>
                <w:lang w:val="en-GB"/>
              </w:rPr>
            </w:pPr>
            <w:proofErr w:type="spellStart"/>
            <w:r w:rsidRPr="00EA2734">
              <w:rPr>
                <w:rFonts w:ascii="Arial Narrow" w:hAnsi="Arial Narrow" w:cs="Arial"/>
                <w:sz w:val="20"/>
                <w:szCs w:val="20"/>
                <w:lang w:val="en-GB"/>
              </w:rPr>
              <w:t>Janusz</w:t>
            </w:r>
            <w:proofErr w:type="spellEnd"/>
            <w:r w:rsidRPr="00EA2734">
              <w:rPr>
                <w:rFonts w:ascii="Arial Narrow" w:hAnsi="Arial Narrow" w:cs="Arial"/>
                <w:sz w:val="20"/>
                <w:szCs w:val="20"/>
                <w:lang w:val="en-GB"/>
              </w:rPr>
              <w:t xml:space="preserve"> </w:t>
            </w:r>
            <w:proofErr w:type="spellStart"/>
            <w:r w:rsidRPr="00EA2734">
              <w:rPr>
                <w:rFonts w:ascii="Arial Narrow" w:hAnsi="Arial Narrow" w:cs="Arial"/>
                <w:sz w:val="20"/>
                <w:szCs w:val="20"/>
                <w:lang w:val="en-GB"/>
              </w:rPr>
              <w:t>Bober</w:t>
            </w:r>
            <w:proofErr w:type="spellEnd"/>
          </w:p>
        </w:tc>
        <w:tc>
          <w:tcPr>
            <w:tcW w:w="5837" w:type="dxa"/>
          </w:tcPr>
          <w:p w14:paraId="65298093" w14:textId="116C2401" w:rsidR="00E40E4D" w:rsidRPr="00EA2734" w:rsidRDefault="007607EE" w:rsidP="002A6C67">
            <w:pPr>
              <w:jc w:val="both"/>
              <w:rPr>
                <w:rFonts w:ascii="Arial Narrow" w:hAnsi="Arial Narrow" w:cs="Arial"/>
                <w:sz w:val="20"/>
                <w:szCs w:val="20"/>
                <w:lang w:val="en-GB"/>
              </w:rPr>
            </w:pPr>
            <w:r w:rsidRPr="00EA2734">
              <w:rPr>
                <w:rFonts w:ascii="Arial Narrow" w:hAnsi="Arial Narrow" w:cs="Arial"/>
                <w:sz w:val="20"/>
                <w:szCs w:val="20"/>
                <w:lang w:val="en-GB"/>
              </w:rPr>
              <w:t>Chairman of the Supervisory Board</w:t>
            </w:r>
          </w:p>
        </w:tc>
      </w:tr>
      <w:tr w:rsidR="00E40E4D" w:rsidRPr="00EA2734" w14:paraId="53FDFE75" w14:textId="77777777" w:rsidTr="00E40E4D">
        <w:trPr>
          <w:trHeight w:val="304"/>
        </w:trPr>
        <w:tc>
          <w:tcPr>
            <w:tcW w:w="2835" w:type="dxa"/>
          </w:tcPr>
          <w:p w14:paraId="397BE850" w14:textId="77777777" w:rsidR="00E40E4D" w:rsidRPr="00EA2734" w:rsidRDefault="00E40E4D" w:rsidP="002A6C67">
            <w:pPr>
              <w:jc w:val="both"/>
              <w:rPr>
                <w:rFonts w:ascii="Arial Narrow" w:hAnsi="Arial Narrow" w:cs="Arial"/>
                <w:sz w:val="20"/>
                <w:szCs w:val="20"/>
                <w:lang w:val="en-GB"/>
              </w:rPr>
            </w:pPr>
            <w:r w:rsidRPr="00EA2734">
              <w:rPr>
                <w:rFonts w:ascii="Arial Narrow" w:hAnsi="Arial Narrow" w:cs="Arial"/>
                <w:sz w:val="20"/>
                <w:szCs w:val="20"/>
                <w:lang w:val="en-GB"/>
              </w:rPr>
              <w:t xml:space="preserve">Andrzej </w:t>
            </w:r>
            <w:proofErr w:type="spellStart"/>
            <w:r w:rsidRPr="00EA2734">
              <w:rPr>
                <w:rFonts w:ascii="Arial Narrow" w:hAnsi="Arial Narrow" w:cs="Arial"/>
                <w:sz w:val="20"/>
                <w:szCs w:val="20"/>
                <w:lang w:val="en-GB"/>
              </w:rPr>
              <w:t>Pelczar</w:t>
            </w:r>
            <w:proofErr w:type="spellEnd"/>
          </w:p>
        </w:tc>
        <w:tc>
          <w:tcPr>
            <w:tcW w:w="5837" w:type="dxa"/>
          </w:tcPr>
          <w:p w14:paraId="618C0739" w14:textId="7CAE03B7" w:rsidR="00E40E4D" w:rsidRPr="00EA2734" w:rsidRDefault="007607EE" w:rsidP="002A6C67">
            <w:pPr>
              <w:jc w:val="both"/>
              <w:rPr>
                <w:rFonts w:ascii="Arial Narrow" w:hAnsi="Arial Narrow" w:cs="Arial"/>
                <w:sz w:val="20"/>
                <w:szCs w:val="20"/>
                <w:lang w:val="en-GB"/>
              </w:rPr>
            </w:pPr>
            <w:r w:rsidRPr="00EA2734">
              <w:rPr>
                <w:rFonts w:ascii="Arial Narrow" w:hAnsi="Arial Narrow" w:cs="Arial"/>
                <w:sz w:val="20"/>
                <w:szCs w:val="20"/>
                <w:lang w:val="en-GB"/>
              </w:rPr>
              <w:t>Vice Chairman of the Supervisory Board</w:t>
            </w:r>
          </w:p>
        </w:tc>
      </w:tr>
      <w:tr w:rsidR="00E40E4D" w:rsidRPr="00EA2734" w14:paraId="6DFEA1AF" w14:textId="77777777" w:rsidTr="00E40E4D">
        <w:trPr>
          <w:trHeight w:val="304"/>
        </w:trPr>
        <w:tc>
          <w:tcPr>
            <w:tcW w:w="2835" w:type="dxa"/>
          </w:tcPr>
          <w:p w14:paraId="5217A5CB" w14:textId="77777777" w:rsidR="00E40E4D" w:rsidRPr="00EA2734" w:rsidRDefault="00E40E4D" w:rsidP="002A6C67">
            <w:pPr>
              <w:jc w:val="both"/>
              <w:rPr>
                <w:rFonts w:ascii="Arial Narrow" w:hAnsi="Arial Narrow" w:cs="Arial"/>
                <w:sz w:val="20"/>
                <w:szCs w:val="20"/>
                <w:lang w:val="en-GB"/>
              </w:rPr>
            </w:pPr>
            <w:proofErr w:type="spellStart"/>
            <w:r w:rsidRPr="00EA2734">
              <w:rPr>
                <w:rFonts w:ascii="Arial Narrow" w:hAnsi="Arial Narrow" w:cs="Arial"/>
                <w:sz w:val="20"/>
                <w:szCs w:val="20"/>
                <w:lang w:val="en-GB"/>
              </w:rPr>
              <w:t>Wiesław</w:t>
            </w:r>
            <w:proofErr w:type="spellEnd"/>
            <w:r w:rsidRPr="00EA2734">
              <w:rPr>
                <w:rFonts w:ascii="Arial Narrow" w:hAnsi="Arial Narrow" w:cs="Arial"/>
                <w:sz w:val="20"/>
                <w:szCs w:val="20"/>
                <w:lang w:val="en-GB"/>
              </w:rPr>
              <w:t xml:space="preserve"> Roman </w:t>
            </w:r>
            <w:proofErr w:type="spellStart"/>
            <w:r w:rsidRPr="00EA2734">
              <w:rPr>
                <w:rFonts w:ascii="Arial Narrow" w:hAnsi="Arial Narrow" w:cs="Arial"/>
                <w:sz w:val="20"/>
                <w:szCs w:val="20"/>
                <w:lang w:val="en-GB"/>
              </w:rPr>
              <w:t>Zaniewicz</w:t>
            </w:r>
            <w:proofErr w:type="spellEnd"/>
          </w:p>
        </w:tc>
        <w:tc>
          <w:tcPr>
            <w:tcW w:w="5837" w:type="dxa"/>
          </w:tcPr>
          <w:p w14:paraId="70404E09" w14:textId="3AD17D04" w:rsidR="00E40E4D" w:rsidRPr="00EA2734" w:rsidRDefault="007607EE" w:rsidP="002A6C67">
            <w:pPr>
              <w:jc w:val="both"/>
              <w:rPr>
                <w:rFonts w:ascii="Arial Narrow" w:hAnsi="Arial Narrow" w:cs="Arial"/>
                <w:sz w:val="20"/>
                <w:szCs w:val="20"/>
                <w:lang w:val="en-GB"/>
              </w:rPr>
            </w:pPr>
            <w:r w:rsidRPr="00EA2734">
              <w:rPr>
                <w:rFonts w:ascii="Arial Narrow" w:hAnsi="Arial Narrow" w:cs="Arial"/>
                <w:sz w:val="20"/>
                <w:szCs w:val="20"/>
                <w:lang w:val="en-GB"/>
              </w:rPr>
              <w:t>Secretary of the Supervisory Board</w:t>
            </w:r>
          </w:p>
        </w:tc>
      </w:tr>
      <w:tr w:rsidR="00E40E4D" w:rsidRPr="00EA2734" w14:paraId="5167D56A" w14:textId="77777777" w:rsidTr="00E40E4D">
        <w:trPr>
          <w:trHeight w:val="304"/>
        </w:trPr>
        <w:tc>
          <w:tcPr>
            <w:tcW w:w="2835" w:type="dxa"/>
          </w:tcPr>
          <w:p w14:paraId="5C8D9E80" w14:textId="77777777" w:rsidR="00E40E4D" w:rsidRPr="00EA2734" w:rsidRDefault="00E40E4D" w:rsidP="002A6C67">
            <w:pPr>
              <w:jc w:val="both"/>
              <w:rPr>
                <w:rFonts w:ascii="Arial Narrow" w:hAnsi="Arial Narrow" w:cs="Arial"/>
                <w:sz w:val="20"/>
                <w:szCs w:val="20"/>
                <w:lang w:val="en-GB"/>
              </w:rPr>
            </w:pPr>
            <w:r w:rsidRPr="00EA2734">
              <w:rPr>
                <w:rFonts w:ascii="Arial Narrow" w:hAnsi="Arial Narrow" w:cs="Arial"/>
                <w:sz w:val="20"/>
                <w:szCs w:val="20"/>
                <w:lang w:val="en-GB"/>
              </w:rPr>
              <w:t>Marcin Lewandowski</w:t>
            </w:r>
          </w:p>
        </w:tc>
        <w:tc>
          <w:tcPr>
            <w:tcW w:w="5837" w:type="dxa"/>
          </w:tcPr>
          <w:p w14:paraId="40066BF1" w14:textId="11B5CDE9" w:rsidR="00E40E4D" w:rsidRPr="00EA2734" w:rsidRDefault="007607EE" w:rsidP="002A6C67">
            <w:pPr>
              <w:jc w:val="both"/>
              <w:rPr>
                <w:rFonts w:ascii="Arial Narrow" w:hAnsi="Arial Narrow" w:cs="Arial"/>
                <w:sz w:val="20"/>
                <w:szCs w:val="20"/>
                <w:lang w:val="en-GB"/>
              </w:rPr>
            </w:pPr>
            <w:r w:rsidRPr="00EA2734">
              <w:rPr>
                <w:rFonts w:ascii="Arial Narrow" w:hAnsi="Arial Narrow" w:cs="Arial"/>
                <w:sz w:val="20"/>
                <w:szCs w:val="20"/>
                <w:lang w:val="en-GB"/>
              </w:rPr>
              <w:t>Supervisory Board Member</w:t>
            </w:r>
          </w:p>
        </w:tc>
      </w:tr>
      <w:tr w:rsidR="00E40E4D" w:rsidRPr="00EA2734" w14:paraId="463E78EB" w14:textId="77777777" w:rsidTr="00E40E4D">
        <w:trPr>
          <w:trHeight w:val="304"/>
        </w:trPr>
        <w:tc>
          <w:tcPr>
            <w:tcW w:w="2835" w:type="dxa"/>
          </w:tcPr>
          <w:p w14:paraId="17732DAF" w14:textId="77777777" w:rsidR="00E40E4D" w:rsidRPr="00EA2734" w:rsidRDefault="00E40E4D" w:rsidP="002A6C67">
            <w:pPr>
              <w:jc w:val="both"/>
              <w:rPr>
                <w:rFonts w:ascii="Arial Narrow" w:hAnsi="Arial Narrow" w:cs="Arial"/>
                <w:sz w:val="20"/>
                <w:szCs w:val="20"/>
                <w:lang w:val="en-GB"/>
              </w:rPr>
            </w:pPr>
            <w:r w:rsidRPr="00EA2734">
              <w:rPr>
                <w:rFonts w:ascii="Arial Narrow" w:hAnsi="Arial Narrow" w:cs="Arial"/>
                <w:sz w:val="20"/>
                <w:szCs w:val="20"/>
                <w:lang w:val="en-GB"/>
              </w:rPr>
              <w:t xml:space="preserve">Andrzej </w:t>
            </w:r>
            <w:proofErr w:type="spellStart"/>
            <w:r w:rsidRPr="00EA2734">
              <w:rPr>
                <w:rFonts w:ascii="Arial Narrow" w:hAnsi="Arial Narrow" w:cs="Arial"/>
                <w:sz w:val="20"/>
                <w:szCs w:val="20"/>
                <w:lang w:val="en-GB"/>
              </w:rPr>
              <w:t>Ziemiński</w:t>
            </w:r>
            <w:proofErr w:type="spellEnd"/>
          </w:p>
        </w:tc>
        <w:tc>
          <w:tcPr>
            <w:tcW w:w="5837" w:type="dxa"/>
          </w:tcPr>
          <w:p w14:paraId="38AC54D0" w14:textId="06A913C1" w:rsidR="00E40E4D" w:rsidRPr="00EA2734" w:rsidRDefault="007607EE" w:rsidP="002A6C67">
            <w:pPr>
              <w:jc w:val="both"/>
              <w:rPr>
                <w:rFonts w:ascii="Arial Narrow" w:hAnsi="Arial Narrow" w:cs="Arial"/>
                <w:sz w:val="20"/>
                <w:szCs w:val="20"/>
                <w:lang w:val="en-GB"/>
              </w:rPr>
            </w:pPr>
            <w:r w:rsidRPr="00EA2734">
              <w:rPr>
                <w:rFonts w:ascii="Arial Narrow" w:hAnsi="Arial Narrow" w:cs="Arial"/>
                <w:sz w:val="20"/>
                <w:szCs w:val="20"/>
                <w:lang w:val="en-GB"/>
              </w:rPr>
              <w:t>Supervisory Board Member</w:t>
            </w:r>
          </w:p>
        </w:tc>
      </w:tr>
    </w:tbl>
    <w:p w14:paraId="65B1A28A" w14:textId="77777777" w:rsidR="00E40E4D" w:rsidRPr="00EA2734" w:rsidRDefault="00E40E4D" w:rsidP="002A6C67">
      <w:pPr>
        <w:jc w:val="both"/>
        <w:rPr>
          <w:rFonts w:ascii="Arial Narrow" w:hAnsi="Arial Narrow" w:cs="Arial"/>
          <w:sz w:val="20"/>
          <w:szCs w:val="20"/>
          <w:lang w:val="en-GB"/>
        </w:rPr>
      </w:pPr>
    </w:p>
    <w:p w14:paraId="6AB579CC" w14:textId="1F6777C1" w:rsidR="00E40E4D" w:rsidRPr="00EA2734" w:rsidRDefault="007607EE" w:rsidP="002A6C67">
      <w:pPr>
        <w:jc w:val="both"/>
        <w:rPr>
          <w:rFonts w:ascii="Arial Narrow" w:hAnsi="Arial Narrow" w:cs="Arial"/>
          <w:b/>
          <w:sz w:val="20"/>
          <w:szCs w:val="20"/>
          <w:lang w:val="en-GB"/>
        </w:rPr>
      </w:pPr>
      <w:r w:rsidRPr="00EA2734">
        <w:rPr>
          <w:rFonts w:ascii="Arial Narrow" w:hAnsi="Arial Narrow" w:cs="Arial"/>
          <w:b/>
          <w:sz w:val="20"/>
          <w:szCs w:val="20"/>
          <w:lang w:val="en-GB"/>
        </w:rPr>
        <w:t xml:space="preserve">The Management Board of </w:t>
      </w:r>
      <w:proofErr w:type="spellStart"/>
      <w:r w:rsidRPr="00EA2734">
        <w:rPr>
          <w:rFonts w:ascii="Arial Narrow" w:hAnsi="Arial Narrow" w:cs="Arial"/>
          <w:b/>
          <w:sz w:val="20"/>
          <w:szCs w:val="20"/>
          <w:lang w:val="en-GB"/>
        </w:rPr>
        <w:t>OPTeam</w:t>
      </w:r>
      <w:proofErr w:type="spellEnd"/>
      <w:r w:rsidRPr="00EA2734">
        <w:rPr>
          <w:rFonts w:ascii="Arial Narrow" w:hAnsi="Arial Narrow" w:cs="Arial"/>
          <w:b/>
          <w:sz w:val="20"/>
          <w:szCs w:val="20"/>
          <w:lang w:val="en-GB"/>
        </w:rPr>
        <w:t xml:space="preserve"> SA</w:t>
      </w:r>
    </w:p>
    <w:p w14:paraId="429A304E" w14:textId="77777777" w:rsidR="001F5F44" w:rsidRPr="00EA2734" w:rsidRDefault="001F5F44" w:rsidP="002A6C67">
      <w:pPr>
        <w:jc w:val="both"/>
        <w:rPr>
          <w:rFonts w:ascii="Arial Narrow" w:hAnsi="Arial Narrow" w:cs="Arial"/>
          <w:sz w:val="20"/>
          <w:szCs w:val="20"/>
          <w:lang w:val="en-GB"/>
        </w:rPr>
      </w:pPr>
    </w:p>
    <w:tbl>
      <w:tblPr>
        <w:tblW w:w="0" w:type="auto"/>
        <w:tblInd w:w="-147" w:type="dxa"/>
        <w:tblLayout w:type="fixed"/>
        <w:tblLook w:val="01E0" w:firstRow="1" w:lastRow="1" w:firstColumn="1" w:lastColumn="1" w:noHBand="0" w:noVBand="0"/>
      </w:tblPr>
      <w:tblGrid>
        <w:gridCol w:w="2880"/>
        <w:gridCol w:w="4500"/>
      </w:tblGrid>
      <w:tr w:rsidR="00E40E4D" w:rsidRPr="00EA2734" w14:paraId="25494DF2" w14:textId="77777777" w:rsidTr="00E40E4D">
        <w:trPr>
          <w:trHeight w:val="363"/>
        </w:trPr>
        <w:tc>
          <w:tcPr>
            <w:tcW w:w="2880" w:type="dxa"/>
          </w:tcPr>
          <w:p w14:paraId="4F0E7601" w14:textId="77777777" w:rsidR="00E40E4D" w:rsidRPr="00EA2734" w:rsidRDefault="00E40E4D" w:rsidP="002A6C67">
            <w:pPr>
              <w:jc w:val="both"/>
              <w:rPr>
                <w:rFonts w:ascii="Arial Narrow" w:hAnsi="Arial Narrow" w:cs="Arial"/>
                <w:sz w:val="20"/>
                <w:szCs w:val="20"/>
                <w:lang w:val="en-GB"/>
              </w:rPr>
            </w:pPr>
            <w:proofErr w:type="spellStart"/>
            <w:r w:rsidRPr="00EA2734">
              <w:rPr>
                <w:rFonts w:ascii="Arial Narrow" w:hAnsi="Arial Narrow" w:cs="Arial"/>
                <w:sz w:val="20"/>
                <w:szCs w:val="20"/>
                <w:lang w:val="en-GB"/>
              </w:rPr>
              <w:t>Wacław</w:t>
            </w:r>
            <w:proofErr w:type="spellEnd"/>
            <w:r w:rsidRPr="00EA2734">
              <w:rPr>
                <w:rFonts w:ascii="Arial Narrow" w:hAnsi="Arial Narrow" w:cs="Arial"/>
                <w:sz w:val="20"/>
                <w:szCs w:val="20"/>
                <w:lang w:val="en-GB"/>
              </w:rPr>
              <w:t xml:space="preserve"> </w:t>
            </w:r>
            <w:proofErr w:type="spellStart"/>
            <w:r w:rsidRPr="00EA2734">
              <w:rPr>
                <w:rFonts w:ascii="Arial Narrow" w:hAnsi="Arial Narrow" w:cs="Arial"/>
                <w:sz w:val="20"/>
                <w:szCs w:val="20"/>
                <w:lang w:val="en-GB"/>
              </w:rPr>
              <w:t>Szary</w:t>
            </w:r>
            <w:proofErr w:type="spellEnd"/>
          </w:p>
        </w:tc>
        <w:tc>
          <w:tcPr>
            <w:tcW w:w="4500" w:type="dxa"/>
          </w:tcPr>
          <w:p w14:paraId="78D1D79B" w14:textId="5F69FA22" w:rsidR="00E40E4D" w:rsidRPr="00EA2734" w:rsidRDefault="007607EE" w:rsidP="002A6C67">
            <w:pPr>
              <w:jc w:val="both"/>
              <w:rPr>
                <w:rFonts w:ascii="Arial Narrow" w:hAnsi="Arial Narrow" w:cs="Arial"/>
                <w:sz w:val="20"/>
                <w:szCs w:val="20"/>
                <w:lang w:val="en-GB"/>
              </w:rPr>
            </w:pPr>
            <w:r w:rsidRPr="00EA2734">
              <w:rPr>
                <w:rFonts w:ascii="Arial Narrow" w:hAnsi="Arial Narrow" w:cs="Arial"/>
                <w:sz w:val="20"/>
                <w:szCs w:val="20"/>
                <w:lang w:val="en-GB"/>
              </w:rPr>
              <w:t>President of the Management Board</w:t>
            </w:r>
          </w:p>
        </w:tc>
      </w:tr>
      <w:tr w:rsidR="00E40E4D" w:rsidRPr="00EA2734" w14:paraId="09D46E77" w14:textId="77777777" w:rsidTr="00E40E4D">
        <w:trPr>
          <w:trHeight w:val="397"/>
        </w:trPr>
        <w:tc>
          <w:tcPr>
            <w:tcW w:w="2880" w:type="dxa"/>
          </w:tcPr>
          <w:p w14:paraId="0840017A" w14:textId="77777777" w:rsidR="00E40E4D" w:rsidRPr="00EA2734" w:rsidRDefault="00E40E4D" w:rsidP="002A6C67">
            <w:pPr>
              <w:jc w:val="both"/>
              <w:rPr>
                <w:rFonts w:ascii="Arial Narrow" w:hAnsi="Arial Narrow" w:cs="Arial"/>
                <w:sz w:val="20"/>
                <w:szCs w:val="20"/>
                <w:lang w:val="en-GB"/>
              </w:rPr>
            </w:pPr>
            <w:r w:rsidRPr="00EA2734">
              <w:rPr>
                <w:rFonts w:ascii="Arial Narrow" w:hAnsi="Arial Narrow" w:cs="Arial"/>
                <w:sz w:val="20"/>
                <w:szCs w:val="20"/>
                <w:lang w:val="en-GB"/>
              </w:rPr>
              <w:t xml:space="preserve">Bogdan </w:t>
            </w:r>
            <w:proofErr w:type="spellStart"/>
            <w:r w:rsidRPr="00EA2734">
              <w:rPr>
                <w:rFonts w:ascii="Arial Narrow" w:hAnsi="Arial Narrow" w:cs="Arial"/>
                <w:sz w:val="20"/>
                <w:szCs w:val="20"/>
                <w:lang w:val="en-GB"/>
              </w:rPr>
              <w:t>Niziołek</w:t>
            </w:r>
            <w:proofErr w:type="spellEnd"/>
          </w:p>
        </w:tc>
        <w:tc>
          <w:tcPr>
            <w:tcW w:w="4500" w:type="dxa"/>
          </w:tcPr>
          <w:p w14:paraId="1A856084" w14:textId="7FADCE14" w:rsidR="00E40E4D" w:rsidRPr="00EA2734" w:rsidRDefault="007607EE" w:rsidP="002A6C67">
            <w:pPr>
              <w:jc w:val="both"/>
              <w:rPr>
                <w:rFonts w:ascii="Arial Narrow" w:hAnsi="Arial Narrow" w:cs="Arial"/>
                <w:sz w:val="20"/>
                <w:szCs w:val="20"/>
                <w:lang w:val="en-GB"/>
              </w:rPr>
            </w:pPr>
            <w:r w:rsidRPr="00EA2734">
              <w:rPr>
                <w:rFonts w:ascii="Arial Narrow" w:hAnsi="Arial Narrow" w:cs="Arial"/>
                <w:sz w:val="20"/>
                <w:szCs w:val="20"/>
                <w:lang w:val="en-GB"/>
              </w:rPr>
              <w:t>Vice President of the Management Board</w:t>
            </w:r>
          </w:p>
        </w:tc>
      </w:tr>
      <w:tr w:rsidR="00E40E4D" w:rsidRPr="00EA2734" w14:paraId="38228841" w14:textId="77777777" w:rsidTr="00E40E4D">
        <w:trPr>
          <w:trHeight w:val="397"/>
        </w:trPr>
        <w:tc>
          <w:tcPr>
            <w:tcW w:w="2880" w:type="dxa"/>
          </w:tcPr>
          <w:p w14:paraId="359E7BC9" w14:textId="77777777" w:rsidR="00E40E4D" w:rsidRPr="00EA2734" w:rsidRDefault="00E40E4D" w:rsidP="002A6C67">
            <w:pPr>
              <w:jc w:val="both"/>
              <w:rPr>
                <w:rFonts w:ascii="Arial Narrow" w:hAnsi="Arial Narrow" w:cs="Arial"/>
                <w:sz w:val="20"/>
                <w:szCs w:val="20"/>
                <w:lang w:val="en-GB"/>
              </w:rPr>
            </w:pPr>
            <w:proofErr w:type="spellStart"/>
            <w:r w:rsidRPr="00EA2734">
              <w:rPr>
                <w:rFonts w:ascii="Arial Narrow" w:hAnsi="Arial Narrow" w:cs="Arial"/>
                <w:sz w:val="20"/>
                <w:szCs w:val="20"/>
                <w:lang w:val="en-GB"/>
              </w:rPr>
              <w:t>Ryszard</w:t>
            </w:r>
            <w:proofErr w:type="spellEnd"/>
            <w:r w:rsidRPr="00EA2734">
              <w:rPr>
                <w:rFonts w:ascii="Arial Narrow" w:hAnsi="Arial Narrow" w:cs="Arial"/>
                <w:sz w:val="20"/>
                <w:szCs w:val="20"/>
                <w:lang w:val="en-GB"/>
              </w:rPr>
              <w:t xml:space="preserve"> </w:t>
            </w:r>
            <w:proofErr w:type="spellStart"/>
            <w:r w:rsidRPr="00EA2734">
              <w:rPr>
                <w:rFonts w:ascii="Arial Narrow" w:hAnsi="Arial Narrow" w:cs="Arial"/>
                <w:sz w:val="20"/>
                <w:szCs w:val="20"/>
                <w:lang w:val="en-GB"/>
              </w:rPr>
              <w:t>Woźniak</w:t>
            </w:r>
            <w:proofErr w:type="spellEnd"/>
          </w:p>
        </w:tc>
        <w:tc>
          <w:tcPr>
            <w:tcW w:w="4500" w:type="dxa"/>
          </w:tcPr>
          <w:p w14:paraId="1BFF9C79" w14:textId="49C7CC67" w:rsidR="00E40E4D" w:rsidRPr="00EA2734" w:rsidRDefault="007607EE" w:rsidP="002A6C67">
            <w:pPr>
              <w:jc w:val="both"/>
              <w:rPr>
                <w:rFonts w:ascii="Arial Narrow" w:hAnsi="Arial Narrow" w:cs="Arial"/>
                <w:sz w:val="20"/>
                <w:szCs w:val="20"/>
                <w:lang w:val="en-GB"/>
              </w:rPr>
            </w:pPr>
            <w:r w:rsidRPr="00EA2734">
              <w:rPr>
                <w:rFonts w:ascii="Arial Narrow" w:hAnsi="Arial Narrow" w:cs="Arial"/>
                <w:sz w:val="20"/>
                <w:szCs w:val="20"/>
                <w:lang w:val="en-GB"/>
              </w:rPr>
              <w:t>Vice President of the Management Board</w:t>
            </w:r>
          </w:p>
        </w:tc>
      </w:tr>
    </w:tbl>
    <w:p w14:paraId="66019548" w14:textId="77777777" w:rsidR="002A6C67" w:rsidRPr="00EA2734" w:rsidRDefault="002A6C67" w:rsidP="002A6C67">
      <w:pPr>
        <w:jc w:val="both"/>
        <w:rPr>
          <w:rFonts w:ascii="Arial Narrow" w:hAnsi="Arial Narrow" w:cs="Arial"/>
          <w:sz w:val="20"/>
          <w:szCs w:val="20"/>
          <w:lang w:val="en-GB"/>
        </w:rPr>
      </w:pPr>
      <w:bookmarkStart w:id="131" w:name="_Toc270698121"/>
      <w:bookmarkEnd w:id="128"/>
      <w:bookmarkEnd w:id="129"/>
    </w:p>
    <w:p w14:paraId="7295FD38" w14:textId="10F95E11" w:rsidR="00826FBE" w:rsidRPr="00EA2734" w:rsidRDefault="00E6187C" w:rsidP="002A6C67">
      <w:pPr>
        <w:widowControl w:val="0"/>
        <w:numPr>
          <w:ilvl w:val="0"/>
          <w:numId w:val="26"/>
        </w:numPr>
        <w:autoSpaceDE w:val="0"/>
        <w:autoSpaceDN w:val="0"/>
        <w:adjustRightInd w:val="0"/>
        <w:spacing w:after="120" w:line="360" w:lineRule="auto"/>
        <w:ind w:left="284" w:hanging="284"/>
        <w:jc w:val="both"/>
        <w:rPr>
          <w:rFonts w:ascii="Arial Narrow" w:hAnsi="Arial Narrow" w:cs="Arial"/>
          <w:b/>
          <w:sz w:val="20"/>
          <w:szCs w:val="20"/>
          <w:lang w:val="en-GB"/>
        </w:rPr>
      </w:pPr>
      <w:r w:rsidRPr="00EA2734">
        <w:rPr>
          <w:rFonts w:ascii="Arial Narrow" w:hAnsi="Arial Narrow" w:cs="Arial"/>
          <w:b/>
          <w:sz w:val="20"/>
          <w:szCs w:val="20"/>
          <w:lang w:val="en-GB"/>
        </w:rPr>
        <w:t>The principles for drawing up the semi-annual condensed financial statement:</w:t>
      </w:r>
    </w:p>
    <w:p w14:paraId="7F2031E5" w14:textId="77777777" w:rsidR="001474EE" w:rsidRPr="00EA2734" w:rsidRDefault="001474EE" w:rsidP="002A6C67">
      <w:pPr>
        <w:jc w:val="both"/>
        <w:rPr>
          <w:rFonts w:ascii="Arial Narrow" w:hAnsi="Arial Narrow" w:cs="Arial"/>
          <w:sz w:val="20"/>
          <w:szCs w:val="20"/>
          <w:lang w:val="en-GB"/>
        </w:rPr>
      </w:pPr>
    </w:p>
    <w:p w14:paraId="11271568" w14:textId="499A7310" w:rsidR="00826FBE" w:rsidRPr="00EA2734" w:rsidRDefault="00E6187C" w:rsidP="002A6C67">
      <w:pPr>
        <w:jc w:val="both"/>
        <w:rPr>
          <w:rFonts w:ascii="Arial Narrow" w:hAnsi="Arial Narrow" w:cs="Arial"/>
          <w:sz w:val="20"/>
          <w:szCs w:val="20"/>
          <w:lang w:val="en-GB"/>
        </w:rPr>
      </w:pPr>
      <w:r w:rsidRPr="00EA2734">
        <w:rPr>
          <w:rFonts w:ascii="Arial Narrow" w:hAnsi="Arial Narrow" w:cs="Arial"/>
          <w:sz w:val="20"/>
          <w:szCs w:val="20"/>
          <w:lang w:val="en-GB"/>
        </w:rPr>
        <w:t>The semi-annual condensed financial statement was drawn up in compliance with the applicable accounting principles (policy) described in the Issuer’s latest annual financial statement and the requirements of International Accounting Standard 34 Interim financial reporting which was ratified by the European Union.</w:t>
      </w:r>
    </w:p>
    <w:p w14:paraId="236CE9F6" w14:textId="77777777" w:rsidR="00DC15FD" w:rsidRPr="00EA2734" w:rsidRDefault="00DC15FD" w:rsidP="001474EE">
      <w:pPr>
        <w:widowControl w:val="0"/>
        <w:autoSpaceDE w:val="0"/>
        <w:autoSpaceDN w:val="0"/>
        <w:adjustRightInd w:val="0"/>
        <w:spacing w:after="120" w:line="360" w:lineRule="auto"/>
        <w:jc w:val="both"/>
        <w:rPr>
          <w:rFonts w:ascii="Arial Narrow" w:hAnsi="Arial Narrow" w:cs="Arial"/>
          <w:sz w:val="22"/>
          <w:szCs w:val="22"/>
          <w:lang w:val="en-GB"/>
        </w:rPr>
      </w:pPr>
    </w:p>
    <w:p w14:paraId="2458382B" w14:textId="0D8B4388" w:rsidR="00441D26" w:rsidRPr="00EA2734" w:rsidRDefault="00E6187C" w:rsidP="00E72D3A">
      <w:pPr>
        <w:pStyle w:val="MsrSection2"/>
        <w:numPr>
          <w:ilvl w:val="0"/>
          <w:numId w:val="8"/>
        </w:numPr>
        <w:spacing w:before="0" w:after="120" w:line="276" w:lineRule="auto"/>
        <w:ind w:left="502" w:hanging="502"/>
        <w:outlineLvl w:val="0"/>
        <w:rPr>
          <w:rFonts w:ascii="Arial Narrow" w:hAnsi="Arial Narrow" w:cs="Arial"/>
          <w:b w:val="0"/>
          <w:i w:val="0"/>
          <w:color w:val="002060"/>
          <w:sz w:val="28"/>
          <w:szCs w:val="22"/>
          <w:lang w:val="en-GB" w:eastAsia="pl-PL"/>
        </w:rPr>
      </w:pPr>
      <w:bookmarkStart w:id="132" w:name="_Toc465945644"/>
      <w:bookmarkStart w:id="133" w:name="_Toc270698124"/>
      <w:r w:rsidRPr="00EA2734">
        <w:rPr>
          <w:rFonts w:ascii="Arial Narrow" w:hAnsi="Arial Narrow" w:cs="Arial"/>
          <w:b w:val="0"/>
          <w:i w:val="0"/>
          <w:color w:val="002060"/>
          <w:sz w:val="28"/>
          <w:szCs w:val="22"/>
          <w:lang w:val="en-GB" w:eastAsia="pl-PL"/>
        </w:rPr>
        <w:t>Presentation of consequences of changes in the Issuer’s organisational structure, including those due to consolidation of business units, acqu</w:t>
      </w:r>
      <w:r w:rsidR="009124F1" w:rsidRPr="00EA2734">
        <w:rPr>
          <w:rFonts w:ascii="Arial Narrow" w:hAnsi="Arial Narrow" w:cs="Arial"/>
          <w:b w:val="0"/>
          <w:i w:val="0"/>
          <w:color w:val="002060"/>
          <w:sz w:val="28"/>
          <w:szCs w:val="22"/>
          <w:lang w:val="en-GB" w:eastAsia="pl-PL"/>
        </w:rPr>
        <w:t>i</w:t>
      </w:r>
      <w:r w:rsidRPr="00EA2734">
        <w:rPr>
          <w:rFonts w:ascii="Arial Narrow" w:hAnsi="Arial Narrow" w:cs="Arial"/>
          <w:b w:val="0"/>
          <w:i w:val="0"/>
          <w:color w:val="002060"/>
          <w:sz w:val="28"/>
          <w:szCs w:val="22"/>
          <w:lang w:val="en-GB" w:eastAsia="pl-PL"/>
        </w:rPr>
        <w:t>sition or disposal of units</w:t>
      </w:r>
      <w:r w:rsidR="006E0125" w:rsidRPr="00EA2734">
        <w:rPr>
          <w:rFonts w:ascii="Arial Narrow" w:hAnsi="Arial Narrow" w:cs="Arial"/>
          <w:b w:val="0"/>
          <w:i w:val="0"/>
          <w:color w:val="002060"/>
          <w:sz w:val="28"/>
          <w:szCs w:val="22"/>
          <w:lang w:val="en-GB" w:eastAsia="pl-PL"/>
        </w:rPr>
        <w:t>, long-term investments, division, restructuring and abandonment of business.</w:t>
      </w:r>
      <w:bookmarkEnd w:id="132"/>
      <w:r w:rsidR="006E0125" w:rsidRPr="00EA2734">
        <w:rPr>
          <w:rFonts w:ascii="Arial Narrow" w:hAnsi="Arial Narrow" w:cs="Arial"/>
          <w:b w:val="0"/>
          <w:i w:val="0"/>
          <w:color w:val="002060"/>
          <w:sz w:val="28"/>
          <w:szCs w:val="22"/>
          <w:lang w:val="en-GB" w:eastAsia="pl-PL"/>
        </w:rPr>
        <w:t xml:space="preserve"> </w:t>
      </w:r>
    </w:p>
    <w:p w14:paraId="676F8D21" w14:textId="77777777" w:rsidR="000C0B35" w:rsidRPr="00EA2734" w:rsidRDefault="000C0B35" w:rsidP="00ED718A">
      <w:pPr>
        <w:jc w:val="both"/>
        <w:rPr>
          <w:rFonts w:ascii="Arial Narrow" w:hAnsi="Arial Narrow" w:cs="Arial"/>
          <w:sz w:val="22"/>
          <w:szCs w:val="22"/>
          <w:lang w:val="en-GB"/>
        </w:rPr>
      </w:pPr>
    </w:p>
    <w:p w14:paraId="3D861E14" w14:textId="3D349DA2" w:rsidR="007A5F7A" w:rsidRPr="00EA2734" w:rsidRDefault="00C92705" w:rsidP="00373E92">
      <w:pPr>
        <w:pStyle w:val="MsrParagraph"/>
        <w:spacing w:line="276" w:lineRule="auto"/>
        <w:ind w:firstLine="0"/>
        <w:rPr>
          <w:sz w:val="20"/>
          <w:szCs w:val="20"/>
          <w:lang w:val="en-GB"/>
        </w:rPr>
      </w:pPr>
      <w:r w:rsidRPr="00EA2734">
        <w:rPr>
          <w:sz w:val="20"/>
          <w:szCs w:val="20"/>
          <w:lang w:val="en-GB"/>
        </w:rPr>
        <w:t xml:space="preserve">In the reporting period there were no events related to changes in the Issuer’s structure except for transactions related to shares of Centre of Electronic Clearance Polish </w:t>
      </w:r>
      <w:proofErr w:type="spellStart"/>
      <w:r w:rsidRPr="00EA2734">
        <w:rPr>
          <w:sz w:val="20"/>
          <w:szCs w:val="20"/>
          <w:lang w:val="en-GB"/>
        </w:rPr>
        <w:t>ePayment</w:t>
      </w:r>
      <w:proofErr w:type="spellEnd"/>
      <w:r w:rsidRPr="00EA2734">
        <w:rPr>
          <w:sz w:val="20"/>
          <w:szCs w:val="20"/>
          <w:lang w:val="en-GB"/>
        </w:rPr>
        <w:t xml:space="preserve"> with its seat in </w:t>
      </w:r>
      <w:proofErr w:type="spellStart"/>
      <w:r w:rsidRPr="00EA2734">
        <w:rPr>
          <w:sz w:val="20"/>
          <w:szCs w:val="20"/>
          <w:lang w:val="en-GB"/>
        </w:rPr>
        <w:t>Rzeszów</w:t>
      </w:r>
      <w:proofErr w:type="spellEnd"/>
      <w:r w:rsidRPr="00EA2734">
        <w:rPr>
          <w:sz w:val="20"/>
          <w:szCs w:val="20"/>
          <w:lang w:val="en-GB"/>
        </w:rPr>
        <w:t xml:space="preserve"> (hereinafter Polish </w:t>
      </w:r>
      <w:proofErr w:type="spellStart"/>
      <w:r w:rsidRPr="00EA2734">
        <w:rPr>
          <w:sz w:val="20"/>
          <w:szCs w:val="20"/>
          <w:lang w:val="en-GB"/>
        </w:rPr>
        <w:t>ePayment</w:t>
      </w:r>
      <w:proofErr w:type="spellEnd"/>
      <w:r w:rsidRPr="00EA2734">
        <w:rPr>
          <w:sz w:val="20"/>
          <w:szCs w:val="20"/>
          <w:lang w:val="en-GB"/>
        </w:rPr>
        <w:t xml:space="preserve">). The Issuer concluded transactions concerning shares of Polish </w:t>
      </w:r>
      <w:proofErr w:type="spellStart"/>
      <w:r w:rsidRPr="00EA2734">
        <w:rPr>
          <w:sz w:val="20"/>
          <w:szCs w:val="20"/>
          <w:lang w:val="en-GB"/>
        </w:rPr>
        <w:t>ePayment</w:t>
      </w:r>
      <w:proofErr w:type="spellEnd"/>
      <w:r w:rsidRPr="00EA2734">
        <w:rPr>
          <w:sz w:val="20"/>
          <w:szCs w:val="20"/>
          <w:lang w:val="en-GB"/>
        </w:rPr>
        <w:t xml:space="preserve"> with Polis</w:t>
      </w:r>
      <w:r w:rsidR="009124F1" w:rsidRPr="00EA2734">
        <w:rPr>
          <w:sz w:val="20"/>
          <w:szCs w:val="20"/>
          <w:lang w:val="en-GB"/>
        </w:rPr>
        <w:t>h Security Printing Works SA with its seat in Warsaw (</w:t>
      </w:r>
      <w:proofErr w:type="spellStart"/>
      <w:r w:rsidR="009124F1" w:rsidRPr="00EA2734">
        <w:rPr>
          <w:sz w:val="20"/>
          <w:szCs w:val="20"/>
          <w:lang w:val="en-GB"/>
        </w:rPr>
        <w:t>Polska</w:t>
      </w:r>
      <w:proofErr w:type="spellEnd"/>
      <w:r w:rsidR="009124F1" w:rsidRPr="00EA2734">
        <w:rPr>
          <w:sz w:val="20"/>
          <w:szCs w:val="20"/>
          <w:lang w:val="en-GB"/>
        </w:rPr>
        <w:t xml:space="preserve"> </w:t>
      </w:r>
      <w:proofErr w:type="spellStart"/>
      <w:r w:rsidR="009124F1" w:rsidRPr="00EA2734">
        <w:rPr>
          <w:sz w:val="20"/>
          <w:szCs w:val="20"/>
          <w:lang w:val="en-GB"/>
        </w:rPr>
        <w:t>Wytwórnia</w:t>
      </w:r>
      <w:proofErr w:type="spellEnd"/>
      <w:r w:rsidR="009124F1" w:rsidRPr="00EA2734">
        <w:rPr>
          <w:sz w:val="20"/>
          <w:szCs w:val="20"/>
          <w:lang w:val="en-GB"/>
        </w:rPr>
        <w:t xml:space="preserve"> </w:t>
      </w:r>
      <w:proofErr w:type="spellStart"/>
      <w:r w:rsidR="009124F1" w:rsidRPr="00EA2734">
        <w:rPr>
          <w:sz w:val="20"/>
          <w:szCs w:val="20"/>
          <w:lang w:val="en-GB"/>
        </w:rPr>
        <w:t>Papierów</w:t>
      </w:r>
      <w:proofErr w:type="spellEnd"/>
      <w:r w:rsidR="009124F1" w:rsidRPr="00EA2734">
        <w:rPr>
          <w:sz w:val="20"/>
          <w:szCs w:val="20"/>
          <w:lang w:val="en-GB"/>
        </w:rPr>
        <w:t xml:space="preserve"> </w:t>
      </w:r>
      <w:proofErr w:type="spellStart"/>
      <w:r w:rsidR="009124F1" w:rsidRPr="00EA2734">
        <w:rPr>
          <w:sz w:val="20"/>
          <w:szCs w:val="20"/>
          <w:lang w:val="en-GB"/>
        </w:rPr>
        <w:t>Wartościowych</w:t>
      </w:r>
      <w:proofErr w:type="spellEnd"/>
      <w:r w:rsidR="009124F1" w:rsidRPr="00EA2734">
        <w:rPr>
          <w:sz w:val="20"/>
          <w:szCs w:val="20"/>
          <w:lang w:val="en-GB"/>
        </w:rPr>
        <w:t xml:space="preserve"> SA, hereinafter PWPW)</w:t>
      </w:r>
      <w:r w:rsidRPr="00EA2734">
        <w:rPr>
          <w:sz w:val="20"/>
          <w:szCs w:val="20"/>
          <w:lang w:val="en-GB"/>
        </w:rPr>
        <w:t xml:space="preserve"> </w:t>
      </w:r>
      <w:r w:rsidR="009124F1" w:rsidRPr="00EA2734">
        <w:rPr>
          <w:sz w:val="20"/>
          <w:szCs w:val="20"/>
          <w:lang w:val="en-GB"/>
        </w:rPr>
        <w:t xml:space="preserve">and </w:t>
      </w:r>
      <w:proofErr w:type="spellStart"/>
      <w:r w:rsidR="009124F1" w:rsidRPr="00EA2734">
        <w:rPr>
          <w:sz w:val="20"/>
          <w:szCs w:val="20"/>
          <w:lang w:val="en-GB"/>
        </w:rPr>
        <w:t>Innova</w:t>
      </w:r>
      <w:proofErr w:type="spellEnd"/>
      <w:r w:rsidR="009124F1" w:rsidRPr="00EA2734">
        <w:rPr>
          <w:sz w:val="20"/>
          <w:szCs w:val="20"/>
          <w:lang w:val="en-GB"/>
        </w:rPr>
        <w:t xml:space="preserve"> AF II </w:t>
      </w:r>
      <w:proofErr w:type="spellStart"/>
      <w:r w:rsidR="009124F1" w:rsidRPr="00EA2734">
        <w:rPr>
          <w:sz w:val="20"/>
          <w:szCs w:val="20"/>
          <w:lang w:val="en-GB"/>
        </w:rPr>
        <w:t>S.à</w:t>
      </w:r>
      <w:proofErr w:type="spellEnd"/>
      <w:r w:rsidR="009124F1" w:rsidRPr="00EA2734">
        <w:rPr>
          <w:sz w:val="20"/>
          <w:szCs w:val="20"/>
          <w:lang w:val="en-GB"/>
        </w:rPr>
        <w:t xml:space="preserve"> </w:t>
      </w:r>
      <w:proofErr w:type="spellStart"/>
      <w:r w:rsidR="009124F1" w:rsidRPr="00EA2734">
        <w:rPr>
          <w:sz w:val="20"/>
          <w:szCs w:val="20"/>
          <w:lang w:val="en-GB"/>
        </w:rPr>
        <w:t>r.l</w:t>
      </w:r>
      <w:proofErr w:type="spellEnd"/>
      <w:r w:rsidR="009124F1" w:rsidRPr="00EA2734">
        <w:rPr>
          <w:sz w:val="20"/>
          <w:szCs w:val="20"/>
          <w:lang w:val="en-GB"/>
        </w:rPr>
        <w:t>. (</w:t>
      </w:r>
      <w:proofErr w:type="spellStart"/>
      <w:r w:rsidR="009124F1" w:rsidRPr="00EA2734">
        <w:rPr>
          <w:sz w:val="20"/>
          <w:szCs w:val="20"/>
          <w:lang w:val="en-GB"/>
        </w:rPr>
        <w:t>société</w:t>
      </w:r>
      <w:proofErr w:type="spellEnd"/>
      <w:r w:rsidR="009124F1" w:rsidRPr="00EA2734">
        <w:rPr>
          <w:sz w:val="20"/>
          <w:szCs w:val="20"/>
          <w:lang w:val="en-GB"/>
        </w:rPr>
        <w:t xml:space="preserve"> à </w:t>
      </w:r>
      <w:proofErr w:type="spellStart"/>
      <w:r w:rsidR="009124F1" w:rsidRPr="00EA2734">
        <w:rPr>
          <w:sz w:val="20"/>
          <w:szCs w:val="20"/>
          <w:lang w:val="en-GB"/>
        </w:rPr>
        <w:t>responsabilité</w:t>
      </w:r>
      <w:proofErr w:type="spellEnd"/>
      <w:r w:rsidR="009124F1" w:rsidRPr="00EA2734">
        <w:rPr>
          <w:sz w:val="20"/>
          <w:szCs w:val="20"/>
          <w:lang w:val="en-GB"/>
        </w:rPr>
        <w:t xml:space="preserve"> </w:t>
      </w:r>
      <w:proofErr w:type="spellStart"/>
      <w:r w:rsidR="009124F1" w:rsidRPr="00EA2734">
        <w:rPr>
          <w:sz w:val="20"/>
          <w:szCs w:val="20"/>
          <w:lang w:val="en-GB"/>
        </w:rPr>
        <w:t>limitée</w:t>
      </w:r>
      <w:proofErr w:type="spellEnd"/>
      <w:r w:rsidR="009124F1" w:rsidRPr="00EA2734">
        <w:rPr>
          <w:sz w:val="20"/>
          <w:szCs w:val="20"/>
          <w:lang w:val="en-GB"/>
        </w:rPr>
        <w:t xml:space="preserve">) fund, </w:t>
      </w:r>
      <w:r w:rsidR="009124F1" w:rsidRPr="00EA2734">
        <w:rPr>
          <w:color w:val="000000"/>
          <w:sz w:val="20"/>
          <w:szCs w:val="20"/>
          <w:lang w:val="en-GB"/>
        </w:rPr>
        <w:t xml:space="preserve">established according to the law provisions of the Grand Duchy of Luxembourg with its seat in Luxembourg (hereinafter </w:t>
      </w:r>
      <w:proofErr w:type="spellStart"/>
      <w:r w:rsidR="009124F1" w:rsidRPr="00EA2734">
        <w:rPr>
          <w:color w:val="000000"/>
          <w:sz w:val="20"/>
          <w:szCs w:val="20"/>
          <w:lang w:val="en-GB"/>
        </w:rPr>
        <w:t>Innova</w:t>
      </w:r>
      <w:proofErr w:type="spellEnd"/>
      <w:r w:rsidR="009124F1" w:rsidRPr="00EA2734">
        <w:rPr>
          <w:color w:val="000000"/>
          <w:sz w:val="20"/>
          <w:szCs w:val="20"/>
          <w:lang w:val="en-GB"/>
        </w:rPr>
        <w:t>). The Issuer disclosed concluding the aforementioned transactions in published current reports.</w:t>
      </w:r>
    </w:p>
    <w:p w14:paraId="641F1BD8" w14:textId="77777777" w:rsidR="00373E92" w:rsidRPr="00EA2734" w:rsidRDefault="00373E92" w:rsidP="00373E92">
      <w:pPr>
        <w:pStyle w:val="MsrParagraph"/>
        <w:spacing w:line="276" w:lineRule="auto"/>
        <w:ind w:firstLine="0"/>
        <w:rPr>
          <w:sz w:val="20"/>
          <w:szCs w:val="20"/>
          <w:lang w:val="en-GB"/>
        </w:rPr>
      </w:pPr>
    </w:p>
    <w:p w14:paraId="5D3CBF1A" w14:textId="2690318F" w:rsidR="00457568" w:rsidRPr="00EA2734" w:rsidRDefault="009124F1" w:rsidP="00373E92">
      <w:pPr>
        <w:pStyle w:val="MsrParagraph"/>
        <w:spacing w:line="276" w:lineRule="auto"/>
        <w:ind w:firstLine="0"/>
        <w:rPr>
          <w:sz w:val="20"/>
          <w:szCs w:val="20"/>
          <w:lang w:val="en-GB"/>
        </w:rPr>
      </w:pPr>
      <w:r w:rsidRPr="00EA2734">
        <w:rPr>
          <w:sz w:val="20"/>
          <w:szCs w:val="20"/>
          <w:lang w:val="en-GB"/>
        </w:rPr>
        <w:t xml:space="preserve">The Issuer concluded on 22 June 2016 the promised agreement with PWPW on purchase of shares of Polish </w:t>
      </w:r>
      <w:proofErr w:type="spellStart"/>
      <w:r w:rsidRPr="00EA2734">
        <w:rPr>
          <w:sz w:val="20"/>
          <w:szCs w:val="20"/>
          <w:lang w:val="en-GB"/>
        </w:rPr>
        <w:t>ePayment</w:t>
      </w:r>
      <w:proofErr w:type="spellEnd"/>
      <w:r w:rsidRPr="00EA2734">
        <w:rPr>
          <w:sz w:val="20"/>
          <w:szCs w:val="20"/>
          <w:lang w:val="en-GB"/>
        </w:rPr>
        <w:t xml:space="preserve"> i.e. 14 192 105 shares including: </w:t>
      </w:r>
      <w:r w:rsidRPr="00EA2734">
        <w:rPr>
          <w:color w:val="000000"/>
          <w:sz w:val="20"/>
          <w:szCs w:val="20"/>
          <w:lang w:val="en-GB"/>
        </w:rPr>
        <w:t>60 053 A series registered preference shares, 6 096 052 B series registered preference shares, 2 000 000 D series registered ordinary shares,</w:t>
      </w:r>
      <w:r w:rsidR="00E62A8A" w:rsidRPr="00EA2734">
        <w:rPr>
          <w:color w:val="000000"/>
          <w:sz w:val="20"/>
          <w:szCs w:val="20"/>
          <w:lang w:val="en-GB"/>
        </w:rPr>
        <w:t xml:space="preserve"> held by PWPW and constituting 50% of Polish </w:t>
      </w:r>
      <w:proofErr w:type="spellStart"/>
      <w:r w:rsidR="00E62A8A" w:rsidRPr="00EA2734">
        <w:rPr>
          <w:color w:val="000000"/>
          <w:sz w:val="20"/>
          <w:szCs w:val="20"/>
          <w:lang w:val="en-GB"/>
        </w:rPr>
        <w:t>ePayment</w:t>
      </w:r>
      <w:proofErr w:type="spellEnd"/>
      <w:r w:rsidR="00E62A8A" w:rsidRPr="00EA2734">
        <w:rPr>
          <w:color w:val="000000"/>
          <w:sz w:val="20"/>
          <w:szCs w:val="20"/>
          <w:lang w:val="en-GB"/>
        </w:rPr>
        <w:t xml:space="preserve"> share capital and corresponding to 58.84% of the overall number </w:t>
      </w:r>
      <w:r w:rsidR="00A611FE" w:rsidRPr="00EA2734">
        <w:rPr>
          <w:color w:val="000000"/>
          <w:sz w:val="20"/>
          <w:szCs w:val="20"/>
          <w:lang w:val="en-GB"/>
        </w:rPr>
        <w:t xml:space="preserve">of votes at the general meeting. The Issuer financed the purchase of Polish </w:t>
      </w:r>
      <w:proofErr w:type="spellStart"/>
      <w:r w:rsidR="00A611FE" w:rsidRPr="00EA2734">
        <w:rPr>
          <w:color w:val="000000"/>
          <w:sz w:val="20"/>
          <w:szCs w:val="20"/>
          <w:lang w:val="en-GB"/>
        </w:rPr>
        <w:t>ePayment</w:t>
      </w:r>
      <w:proofErr w:type="spellEnd"/>
      <w:r w:rsidR="00A611FE" w:rsidRPr="00EA2734">
        <w:rPr>
          <w:color w:val="000000"/>
          <w:sz w:val="20"/>
          <w:szCs w:val="20"/>
          <w:lang w:val="en-GB"/>
        </w:rPr>
        <w:t xml:space="preserve"> shares from PWPW with means obtained from </w:t>
      </w:r>
      <w:proofErr w:type="spellStart"/>
      <w:r w:rsidR="00A611FE" w:rsidRPr="00EA2734">
        <w:rPr>
          <w:color w:val="000000"/>
          <w:sz w:val="20"/>
          <w:szCs w:val="20"/>
          <w:lang w:val="en-GB"/>
        </w:rPr>
        <w:t>Innova</w:t>
      </w:r>
      <w:proofErr w:type="spellEnd"/>
      <w:r w:rsidR="00A611FE" w:rsidRPr="00EA2734">
        <w:rPr>
          <w:color w:val="000000"/>
          <w:sz w:val="20"/>
          <w:szCs w:val="20"/>
          <w:lang w:val="en-GB"/>
        </w:rPr>
        <w:t xml:space="preserve"> fund.</w:t>
      </w:r>
    </w:p>
    <w:p w14:paraId="54588CD1" w14:textId="77777777" w:rsidR="00373E92" w:rsidRPr="00EA2734" w:rsidRDefault="00373E92" w:rsidP="00373E92">
      <w:pPr>
        <w:pStyle w:val="MsrParagraph"/>
        <w:spacing w:line="276" w:lineRule="auto"/>
        <w:ind w:firstLine="0"/>
        <w:rPr>
          <w:sz w:val="20"/>
          <w:szCs w:val="20"/>
          <w:lang w:val="en-GB"/>
        </w:rPr>
      </w:pPr>
    </w:p>
    <w:p w14:paraId="62E6B48C" w14:textId="2FD72B92" w:rsidR="002A6C67" w:rsidRPr="00EA2734" w:rsidRDefault="0002407C" w:rsidP="00373E92">
      <w:pPr>
        <w:pStyle w:val="MsrParagraph"/>
        <w:spacing w:line="276" w:lineRule="auto"/>
        <w:ind w:firstLine="0"/>
        <w:rPr>
          <w:sz w:val="20"/>
          <w:szCs w:val="20"/>
          <w:lang w:val="en-GB"/>
        </w:rPr>
      </w:pPr>
      <w:r w:rsidRPr="00EA2734">
        <w:rPr>
          <w:sz w:val="20"/>
          <w:szCs w:val="20"/>
          <w:lang w:val="en-GB"/>
        </w:rPr>
        <w:t>.</w:t>
      </w:r>
      <w:r w:rsidR="00A611FE" w:rsidRPr="00EA2734">
        <w:rPr>
          <w:sz w:val="20"/>
          <w:szCs w:val="20"/>
          <w:lang w:val="en-GB"/>
        </w:rPr>
        <w:t xml:space="preserve"> On 30 June 2016 the Issuer concluded with </w:t>
      </w:r>
      <w:proofErr w:type="spellStart"/>
      <w:r w:rsidR="00A611FE" w:rsidRPr="00EA2734">
        <w:rPr>
          <w:sz w:val="20"/>
          <w:szCs w:val="20"/>
          <w:lang w:val="en-GB"/>
        </w:rPr>
        <w:t>Innova</w:t>
      </w:r>
      <w:proofErr w:type="spellEnd"/>
      <w:r w:rsidR="00A611FE" w:rsidRPr="00EA2734">
        <w:rPr>
          <w:sz w:val="20"/>
          <w:szCs w:val="20"/>
          <w:lang w:val="en-GB"/>
        </w:rPr>
        <w:t xml:space="preserve"> fund the promised agreement on disposal of Polish </w:t>
      </w:r>
      <w:proofErr w:type="spellStart"/>
      <w:r w:rsidR="00A611FE" w:rsidRPr="00EA2734">
        <w:rPr>
          <w:sz w:val="20"/>
          <w:szCs w:val="20"/>
          <w:lang w:val="en-GB"/>
        </w:rPr>
        <w:t>ePayment</w:t>
      </w:r>
      <w:proofErr w:type="spellEnd"/>
      <w:r w:rsidR="00A611FE" w:rsidRPr="00EA2734">
        <w:rPr>
          <w:sz w:val="20"/>
          <w:szCs w:val="20"/>
          <w:lang w:val="en-GB"/>
        </w:rPr>
        <w:t xml:space="preserve"> shares. In the agreement the Issuer acted as a seller, whereas </w:t>
      </w:r>
      <w:proofErr w:type="spellStart"/>
      <w:r w:rsidR="00A611FE" w:rsidRPr="00EA2734">
        <w:rPr>
          <w:sz w:val="20"/>
          <w:szCs w:val="20"/>
          <w:lang w:val="en-GB"/>
        </w:rPr>
        <w:t>Innova</w:t>
      </w:r>
      <w:proofErr w:type="spellEnd"/>
      <w:r w:rsidR="00A611FE" w:rsidRPr="00EA2734">
        <w:rPr>
          <w:sz w:val="20"/>
          <w:szCs w:val="20"/>
          <w:lang w:val="en-GB"/>
        </w:rPr>
        <w:t xml:space="preserve"> acted as a buyer. Under the agreement, the Issuer sold in total 21,288,157 (twenty one million two hundred eighty eight thousand and hundred fifty seven) shares of Polish </w:t>
      </w:r>
      <w:proofErr w:type="spellStart"/>
      <w:r w:rsidR="00A611FE" w:rsidRPr="00EA2734">
        <w:rPr>
          <w:sz w:val="20"/>
          <w:szCs w:val="20"/>
          <w:lang w:val="en-GB"/>
        </w:rPr>
        <w:t>ePayment</w:t>
      </w:r>
      <w:proofErr w:type="spellEnd"/>
      <w:r w:rsidR="00A611FE" w:rsidRPr="00EA2734">
        <w:rPr>
          <w:sz w:val="20"/>
          <w:szCs w:val="20"/>
          <w:lang w:val="en-GB"/>
        </w:rPr>
        <w:t xml:space="preserve"> shares held by the Issuer. i.e. around 75% of shares of this company corresponding to around 79.42 % of votes at the general meeting, for the selling price along with all rights assigned to them or rights they entitle to, pursuant to the conditions specified in the preliminary agreement on sale of shares.</w:t>
      </w:r>
    </w:p>
    <w:p w14:paraId="052A5127" w14:textId="463A52FE" w:rsidR="00E37FE5" w:rsidRPr="00EA2734" w:rsidRDefault="006B387E" w:rsidP="00373E92">
      <w:pPr>
        <w:pStyle w:val="MsrParagraph"/>
        <w:spacing w:line="276" w:lineRule="auto"/>
        <w:ind w:firstLine="0"/>
        <w:rPr>
          <w:sz w:val="20"/>
          <w:szCs w:val="20"/>
          <w:lang w:val="en-GB"/>
        </w:rPr>
      </w:pPr>
      <w:r w:rsidRPr="00EA2734">
        <w:rPr>
          <w:sz w:val="20"/>
          <w:szCs w:val="20"/>
          <w:lang w:val="en-GB"/>
        </w:rPr>
        <w:t xml:space="preserve">Moreover, the Issuer announces that on 29.07.2016 the Regional Court in </w:t>
      </w:r>
      <w:proofErr w:type="spellStart"/>
      <w:r w:rsidRPr="00EA2734">
        <w:rPr>
          <w:sz w:val="20"/>
          <w:szCs w:val="20"/>
          <w:lang w:val="en-GB"/>
        </w:rPr>
        <w:t>Rzeszów</w:t>
      </w:r>
      <w:proofErr w:type="spellEnd"/>
      <w:r w:rsidRPr="00EA2734">
        <w:rPr>
          <w:sz w:val="20"/>
          <w:szCs w:val="20"/>
          <w:lang w:val="en-GB"/>
        </w:rPr>
        <w:t xml:space="preserve">, 12th Commercial Division of the National Court Register </w:t>
      </w:r>
      <w:r w:rsidR="004A3DC8" w:rsidRPr="00EA2734">
        <w:rPr>
          <w:sz w:val="20"/>
          <w:szCs w:val="20"/>
          <w:lang w:val="en-GB"/>
        </w:rPr>
        <w:t xml:space="preserve">issued a </w:t>
      </w:r>
      <w:r w:rsidR="00F33E7E" w:rsidRPr="00EA2734">
        <w:rPr>
          <w:sz w:val="20"/>
          <w:szCs w:val="20"/>
          <w:lang w:val="en-GB"/>
        </w:rPr>
        <w:t xml:space="preserve">decision on registering the new Articles of Association of Polish </w:t>
      </w:r>
      <w:proofErr w:type="spellStart"/>
      <w:r w:rsidR="00F33E7E" w:rsidRPr="00EA2734">
        <w:rPr>
          <w:sz w:val="20"/>
          <w:szCs w:val="20"/>
          <w:lang w:val="en-GB"/>
        </w:rPr>
        <w:t>ePayment</w:t>
      </w:r>
      <w:proofErr w:type="spellEnd"/>
      <w:r w:rsidR="00F33E7E" w:rsidRPr="00EA2734">
        <w:rPr>
          <w:sz w:val="20"/>
          <w:szCs w:val="20"/>
          <w:lang w:val="en-GB"/>
        </w:rPr>
        <w:t>.</w:t>
      </w:r>
      <w:r w:rsidRPr="00EA2734">
        <w:rPr>
          <w:sz w:val="20"/>
          <w:szCs w:val="20"/>
          <w:lang w:val="en-GB"/>
        </w:rPr>
        <w:t xml:space="preserve"> </w:t>
      </w:r>
      <w:r w:rsidR="008C5485" w:rsidRPr="00EA2734">
        <w:rPr>
          <w:sz w:val="20"/>
          <w:szCs w:val="20"/>
          <w:lang w:val="en-GB"/>
        </w:rPr>
        <w:t xml:space="preserve">The concerned change to the Articles of Association was related to, among others, the annulment of the preferred status of a part of company’s shares. Currently, the Issuer holds 7,096,053 (seven million ninety six thousand fifty three) shares of Polish </w:t>
      </w:r>
      <w:proofErr w:type="spellStart"/>
      <w:r w:rsidR="008C5485" w:rsidRPr="00EA2734">
        <w:rPr>
          <w:sz w:val="20"/>
          <w:szCs w:val="20"/>
          <w:lang w:val="en-GB"/>
        </w:rPr>
        <w:t>ePayment</w:t>
      </w:r>
      <w:proofErr w:type="spellEnd"/>
      <w:r w:rsidR="008C5485" w:rsidRPr="00EA2734">
        <w:rPr>
          <w:sz w:val="20"/>
          <w:szCs w:val="20"/>
          <w:lang w:val="en-GB"/>
        </w:rPr>
        <w:t xml:space="preserve"> constituting a 25% stake in share capital and corresponding to 25% of votes at the general meeting.</w:t>
      </w:r>
    </w:p>
    <w:p w14:paraId="6B2691BD" w14:textId="77777777" w:rsidR="00ED7FB1" w:rsidRPr="00EA2734" w:rsidRDefault="00ED7FB1" w:rsidP="00777DCC">
      <w:pPr>
        <w:spacing w:after="120" w:line="360" w:lineRule="auto"/>
        <w:jc w:val="both"/>
        <w:rPr>
          <w:rFonts w:ascii="Arial Narrow" w:hAnsi="Arial Narrow" w:cs="Arial"/>
          <w:sz w:val="22"/>
          <w:szCs w:val="22"/>
          <w:lang w:val="en-GB"/>
        </w:rPr>
      </w:pPr>
    </w:p>
    <w:p w14:paraId="7E7C407A" w14:textId="63BDB210" w:rsidR="00FA53D9" w:rsidRPr="00EA2734" w:rsidRDefault="001D6964" w:rsidP="00E72D3A">
      <w:pPr>
        <w:pStyle w:val="MsrSection2"/>
        <w:numPr>
          <w:ilvl w:val="0"/>
          <w:numId w:val="8"/>
        </w:numPr>
        <w:spacing w:before="0" w:after="120" w:line="276" w:lineRule="auto"/>
        <w:ind w:left="502" w:hanging="502"/>
        <w:outlineLvl w:val="0"/>
        <w:rPr>
          <w:rFonts w:ascii="Arial Narrow" w:hAnsi="Arial Narrow" w:cs="Arial"/>
          <w:b w:val="0"/>
          <w:i w:val="0"/>
          <w:color w:val="002060"/>
          <w:sz w:val="28"/>
          <w:szCs w:val="22"/>
          <w:lang w:val="en-GB" w:eastAsia="pl-PL"/>
        </w:rPr>
      </w:pPr>
      <w:bookmarkStart w:id="134" w:name="_Toc465945645"/>
      <w:r w:rsidRPr="00EA2734">
        <w:rPr>
          <w:rFonts w:ascii="Arial Narrow" w:hAnsi="Arial Narrow" w:cs="Arial"/>
          <w:b w:val="0"/>
          <w:i w:val="0"/>
          <w:color w:val="002060"/>
          <w:sz w:val="28"/>
          <w:szCs w:val="22"/>
          <w:lang w:val="en-GB" w:eastAsia="pl-PL"/>
        </w:rPr>
        <w:t>Disclosure on significant transactions concluded by the Issuer or its subsidiary with re</w:t>
      </w:r>
      <w:r w:rsidR="00AE1C85" w:rsidRPr="00EA2734">
        <w:rPr>
          <w:rFonts w:ascii="Arial Narrow" w:hAnsi="Arial Narrow" w:cs="Arial"/>
          <w:b w:val="0"/>
          <w:i w:val="0"/>
          <w:color w:val="002060"/>
          <w:sz w:val="28"/>
          <w:szCs w:val="22"/>
          <w:lang w:val="en-GB" w:eastAsia="pl-PL"/>
        </w:rPr>
        <w:t>lated parties not at arm’s leng</w:t>
      </w:r>
      <w:r w:rsidRPr="00EA2734">
        <w:rPr>
          <w:rFonts w:ascii="Arial Narrow" w:hAnsi="Arial Narrow" w:cs="Arial"/>
          <w:b w:val="0"/>
          <w:i w:val="0"/>
          <w:color w:val="002060"/>
          <w:sz w:val="28"/>
          <w:szCs w:val="22"/>
          <w:lang w:val="en-GB" w:eastAsia="pl-PL"/>
        </w:rPr>
        <w:t>t</w:t>
      </w:r>
      <w:r w:rsidR="00AE1C85" w:rsidRPr="00EA2734">
        <w:rPr>
          <w:rFonts w:ascii="Arial Narrow" w:hAnsi="Arial Narrow" w:cs="Arial"/>
          <w:b w:val="0"/>
          <w:i w:val="0"/>
          <w:color w:val="002060"/>
          <w:sz w:val="28"/>
          <w:szCs w:val="22"/>
          <w:lang w:val="en-GB" w:eastAsia="pl-PL"/>
        </w:rPr>
        <w:t>h</w:t>
      </w:r>
      <w:r w:rsidRPr="00EA2734">
        <w:rPr>
          <w:rFonts w:ascii="Arial Narrow" w:hAnsi="Arial Narrow" w:cs="Arial"/>
          <w:b w:val="0"/>
          <w:i w:val="0"/>
          <w:color w:val="002060"/>
          <w:sz w:val="28"/>
          <w:szCs w:val="22"/>
          <w:lang w:val="en-GB" w:eastAsia="pl-PL"/>
        </w:rPr>
        <w:t>.</w:t>
      </w:r>
      <w:bookmarkEnd w:id="134"/>
    </w:p>
    <w:p w14:paraId="7FC28812" w14:textId="77777777" w:rsidR="00FA53D9" w:rsidRPr="00EA2734" w:rsidRDefault="00FA53D9" w:rsidP="00FA53D9">
      <w:pPr>
        <w:pStyle w:val="Assetnumerowanieboldem"/>
        <w:numPr>
          <w:ilvl w:val="0"/>
          <w:numId w:val="0"/>
        </w:numPr>
        <w:ind w:left="360"/>
        <w:rPr>
          <w:rFonts w:ascii="Arial Narrow" w:hAnsi="Arial Narrow"/>
          <w:lang w:val="en-GB"/>
        </w:rPr>
      </w:pPr>
    </w:p>
    <w:p w14:paraId="64EB0F33" w14:textId="2F752A3A" w:rsidR="0064159E" w:rsidRPr="00EA2734" w:rsidRDefault="001D6964" w:rsidP="00373E92">
      <w:pPr>
        <w:pStyle w:val="MsrParagraph"/>
        <w:spacing w:line="276" w:lineRule="auto"/>
        <w:ind w:firstLine="0"/>
        <w:rPr>
          <w:sz w:val="20"/>
          <w:szCs w:val="20"/>
          <w:lang w:val="en-GB"/>
        </w:rPr>
      </w:pPr>
      <w:r w:rsidRPr="00EA2734">
        <w:rPr>
          <w:sz w:val="20"/>
          <w:szCs w:val="20"/>
          <w:lang w:val="en-GB"/>
        </w:rPr>
        <w:t>Information on transactions concluded by the Issuer with related parties was included in financial statement for H1</w:t>
      </w:r>
      <w:r w:rsidR="00AE1C85" w:rsidRPr="00EA2734">
        <w:rPr>
          <w:sz w:val="20"/>
          <w:szCs w:val="20"/>
          <w:lang w:val="en-GB"/>
        </w:rPr>
        <w:t xml:space="preserve"> of</w:t>
      </w:r>
      <w:r w:rsidRPr="00EA2734">
        <w:rPr>
          <w:sz w:val="20"/>
          <w:szCs w:val="20"/>
          <w:lang w:val="en-GB"/>
        </w:rPr>
        <w:t xml:space="preserve"> 2016. The transactions were concluded at arm’s length.</w:t>
      </w:r>
    </w:p>
    <w:p w14:paraId="3F37E704" w14:textId="77777777" w:rsidR="001D6964" w:rsidRPr="00EA2734" w:rsidRDefault="001D6964" w:rsidP="001D6964">
      <w:pPr>
        <w:rPr>
          <w:lang w:val="en-GB"/>
        </w:rPr>
      </w:pPr>
    </w:p>
    <w:p w14:paraId="7893FEC2" w14:textId="4A4E5389" w:rsidR="005568C0" w:rsidRPr="00EA2734" w:rsidRDefault="001D6964" w:rsidP="00E72D3A">
      <w:pPr>
        <w:pStyle w:val="MsrSection2"/>
        <w:numPr>
          <w:ilvl w:val="0"/>
          <w:numId w:val="8"/>
        </w:numPr>
        <w:spacing w:before="0" w:after="120" w:line="276" w:lineRule="auto"/>
        <w:ind w:left="502" w:hanging="502"/>
        <w:outlineLvl w:val="0"/>
        <w:rPr>
          <w:rFonts w:ascii="Arial Narrow" w:hAnsi="Arial Narrow" w:cs="Arial"/>
          <w:b w:val="0"/>
          <w:i w:val="0"/>
          <w:color w:val="002060"/>
          <w:sz w:val="28"/>
          <w:szCs w:val="22"/>
          <w:lang w:val="en-GB" w:eastAsia="pl-PL"/>
        </w:rPr>
      </w:pPr>
      <w:bookmarkStart w:id="135" w:name="_Toc465945646"/>
      <w:bookmarkEnd w:id="133"/>
      <w:r w:rsidRPr="00EA2734">
        <w:rPr>
          <w:rFonts w:ascii="Arial Narrow" w:hAnsi="Arial Narrow" w:cs="Arial"/>
          <w:b w:val="0"/>
          <w:i w:val="0"/>
          <w:color w:val="002060"/>
          <w:sz w:val="28"/>
          <w:szCs w:val="22"/>
          <w:lang w:val="en-GB" w:eastAsia="pl-PL"/>
        </w:rPr>
        <w:t>Description of significant risk factors and threats connected with the remainder of the business year, including the extent of exposure.</w:t>
      </w:r>
      <w:bookmarkEnd w:id="135"/>
    </w:p>
    <w:p w14:paraId="60A15BF9" w14:textId="77777777" w:rsidR="00D402E2" w:rsidRPr="00EA2734" w:rsidRDefault="00D402E2" w:rsidP="00D402E2">
      <w:pPr>
        <w:pStyle w:val="Assetnumerowanieboldem"/>
        <w:numPr>
          <w:ilvl w:val="0"/>
          <w:numId w:val="0"/>
        </w:numPr>
        <w:ind w:left="1773"/>
        <w:rPr>
          <w:rFonts w:eastAsia="Arial Unicode MS"/>
          <w:sz w:val="20"/>
          <w:szCs w:val="20"/>
          <w:lang w:val="en-GB"/>
        </w:rPr>
      </w:pPr>
    </w:p>
    <w:p w14:paraId="5A75ACAA" w14:textId="02C3F699" w:rsidR="00373E92" w:rsidRPr="00EA2734" w:rsidRDefault="001D6964" w:rsidP="00373E92">
      <w:pPr>
        <w:pStyle w:val="Assetnumerowanieboldem"/>
        <w:numPr>
          <w:ilvl w:val="1"/>
          <w:numId w:val="8"/>
        </w:numPr>
        <w:spacing w:after="120" w:line="360" w:lineRule="auto"/>
        <w:ind w:left="567" w:hanging="567"/>
        <w:rPr>
          <w:rFonts w:ascii="Arial Narrow" w:eastAsia="Arial Unicode MS" w:hAnsi="Arial Narrow"/>
          <w:sz w:val="20"/>
          <w:szCs w:val="20"/>
          <w:lang w:val="en-GB"/>
        </w:rPr>
      </w:pPr>
      <w:r w:rsidRPr="00EA2734">
        <w:rPr>
          <w:rFonts w:ascii="Arial Narrow" w:eastAsia="Arial Unicode MS" w:hAnsi="Arial Narrow"/>
          <w:sz w:val="20"/>
          <w:szCs w:val="20"/>
          <w:lang w:val="en-GB"/>
        </w:rPr>
        <w:t>Risk related to the effect of the macroeconomic situation on the Issuer’s operations</w:t>
      </w:r>
    </w:p>
    <w:p w14:paraId="6F6DEC84" w14:textId="32D7FA30" w:rsidR="00373E92" w:rsidRPr="00EA2734" w:rsidRDefault="001D6964" w:rsidP="00373E92">
      <w:pPr>
        <w:pStyle w:val="MsrParagraph"/>
        <w:spacing w:line="276" w:lineRule="auto"/>
        <w:ind w:firstLine="0"/>
        <w:rPr>
          <w:sz w:val="20"/>
          <w:szCs w:val="20"/>
          <w:lang w:val="en-GB"/>
        </w:rPr>
      </w:pPr>
      <w:r w:rsidRPr="00EA2734">
        <w:rPr>
          <w:sz w:val="20"/>
          <w:szCs w:val="20"/>
          <w:lang w:val="en-GB"/>
        </w:rPr>
        <w:t xml:space="preserve">The Issuer’s financial situation depends on the economic situation in Poland and worldwide. The financial results generated by the Company are affected by: GDP growth rate, inflation rate, unemployment rate as well as government fiscal and monetary policy and changes in consumption. These factors exert a strong influence on purchases of ICT products. There is a risk that if the </w:t>
      </w:r>
      <w:r w:rsidRPr="00EA2734">
        <w:rPr>
          <w:sz w:val="20"/>
          <w:szCs w:val="20"/>
          <w:lang w:val="en-GB"/>
        </w:rPr>
        <w:lastRenderedPageBreak/>
        <w:t>economic situation in Poland or worldwide deteriorates in the long term, consumer demand drops or the government introduces economic policies that might have a negative impact on the Company’s market standing, the financial results it generates may decline.</w:t>
      </w:r>
    </w:p>
    <w:p w14:paraId="67178055" w14:textId="22A5DC88" w:rsidR="00373E92" w:rsidRPr="00EA2734" w:rsidRDefault="001D6964" w:rsidP="00373E92">
      <w:pPr>
        <w:pStyle w:val="MsrParagraph"/>
        <w:spacing w:line="276" w:lineRule="auto"/>
        <w:ind w:firstLine="0"/>
        <w:rPr>
          <w:sz w:val="20"/>
          <w:szCs w:val="20"/>
          <w:lang w:val="en-GB"/>
        </w:rPr>
      </w:pPr>
      <w:r w:rsidRPr="00EA2734">
        <w:rPr>
          <w:sz w:val="20"/>
          <w:szCs w:val="20"/>
          <w:lang w:val="en-GB"/>
        </w:rPr>
        <w:t>The Issuer’s bidding activity in business sectors where the influence of macroeconomic factors does not impact heavily on investment decisions, as well as product and market diversification of products offered by the Issuer, should limit the potentially harmful consequences of macroeconomic factors on the Company’s operations. The Issuer is exposed to this risk in moderate extent.</w:t>
      </w:r>
    </w:p>
    <w:p w14:paraId="0BA32ACD" w14:textId="77777777" w:rsidR="00373E92" w:rsidRPr="00EA2734" w:rsidRDefault="00373E92" w:rsidP="00373E92">
      <w:pPr>
        <w:pStyle w:val="MsrParagraph"/>
        <w:spacing w:line="276" w:lineRule="auto"/>
        <w:ind w:firstLine="0"/>
        <w:rPr>
          <w:sz w:val="20"/>
          <w:szCs w:val="20"/>
          <w:lang w:val="en-GB"/>
        </w:rPr>
      </w:pPr>
    </w:p>
    <w:p w14:paraId="0DADBFDC" w14:textId="2E180A03" w:rsidR="00373E92" w:rsidRPr="00EA2734" w:rsidRDefault="001D6964" w:rsidP="00373E92">
      <w:pPr>
        <w:pStyle w:val="Assetnumerowanieboldem"/>
        <w:numPr>
          <w:ilvl w:val="1"/>
          <w:numId w:val="8"/>
        </w:numPr>
        <w:spacing w:after="120" w:line="360" w:lineRule="auto"/>
        <w:ind w:left="567" w:hanging="567"/>
        <w:rPr>
          <w:rFonts w:ascii="Arial Narrow" w:eastAsia="Arial Unicode MS" w:hAnsi="Arial Narrow"/>
          <w:sz w:val="20"/>
          <w:szCs w:val="20"/>
          <w:lang w:val="en-GB"/>
        </w:rPr>
      </w:pPr>
      <w:r w:rsidRPr="00EA2734">
        <w:rPr>
          <w:rFonts w:ascii="Arial Narrow" w:eastAsia="Arial Unicode MS" w:hAnsi="Arial Narrow"/>
          <w:sz w:val="20"/>
          <w:szCs w:val="20"/>
          <w:lang w:val="en-GB"/>
        </w:rPr>
        <w:t>Risk related to technological changes in the sector and new product development.</w:t>
      </w:r>
    </w:p>
    <w:p w14:paraId="47A86389" w14:textId="6B44E064" w:rsidR="00373E92" w:rsidRPr="00EA2734" w:rsidRDefault="001D6964" w:rsidP="00373E92">
      <w:pPr>
        <w:pStyle w:val="MsrParagraph"/>
        <w:spacing w:line="276" w:lineRule="auto"/>
        <w:ind w:firstLine="0"/>
        <w:rPr>
          <w:sz w:val="20"/>
          <w:szCs w:val="20"/>
          <w:lang w:val="en-GB"/>
        </w:rPr>
      </w:pPr>
      <w:r w:rsidRPr="00EA2734">
        <w:rPr>
          <w:sz w:val="20"/>
          <w:szCs w:val="20"/>
          <w:lang w:val="en-GB"/>
        </w:rPr>
        <w:t>The IT sector is characterised by the fast development of solutions and technologies, hence the product life cycle in the market is relatively short. The Issuer’s continued operations depend to a large extent on the ability to apply cutting-edge technological solutions in its products and services.</w:t>
      </w:r>
    </w:p>
    <w:p w14:paraId="21FF59CF" w14:textId="4C614B39" w:rsidR="00373E92" w:rsidRPr="00EA2734" w:rsidRDefault="001D6964" w:rsidP="00373E92">
      <w:pPr>
        <w:pStyle w:val="MsrParagraph"/>
        <w:spacing w:line="276" w:lineRule="auto"/>
        <w:ind w:firstLine="0"/>
        <w:rPr>
          <w:sz w:val="20"/>
          <w:szCs w:val="20"/>
          <w:lang w:val="en-GB"/>
        </w:rPr>
      </w:pPr>
      <w:r w:rsidRPr="00EA2734">
        <w:rPr>
          <w:sz w:val="20"/>
          <w:szCs w:val="20"/>
          <w:lang w:val="en-GB"/>
        </w:rPr>
        <w:t>There is a risk that new solutions may appear in the market that will cause the Issuer’s products to become unattractive and fail to ensure the receipts anticipated during design and development stages. Moreover, there is a risk that new technological solutions designed or developed by the Issuer now or in the future fail to achieve the expected parameters, which would have a negative impact on the Issuer’s ability to recover the costs incurred.</w:t>
      </w:r>
    </w:p>
    <w:p w14:paraId="5C252846" w14:textId="4B8F9CF4" w:rsidR="00373E92" w:rsidRPr="00EA2734" w:rsidRDefault="001D6964" w:rsidP="00373E92">
      <w:pPr>
        <w:pStyle w:val="MsrParagraph"/>
        <w:spacing w:line="276" w:lineRule="auto"/>
        <w:ind w:firstLine="0"/>
        <w:rPr>
          <w:sz w:val="20"/>
          <w:szCs w:val="20"/>
          <w:lang w:val="en-GB"/>
        </w:rPr>
      </w:pPr>
      <w:r w:rsidRPr="00EA2734">
        <w:rPr>
          <w:sz w:val="20"/>
          <w:szCs w:val="20"/>
          <w:lang w:val="en-GB"/>
        </w:rPr>
        <w:t>The Issuer analyses the new emerging market trends in IT technologies and product development and their potential applications. They also establish and maintain trade relations with key customers.  These relations underlie activities aimed at adjusting the products offered to customer expectations. Staff are trained on implementing new IT solutions. The Issuer makes efforts to maintain the high technological level of its proprietary products and services, continually expanding the scope of functionalities and applications, that is why the danger resulting from this risk is little.</w:t>
      </w:r>
    </w:p>
    <w:p w14:paraId="1886E99D" w14:textId="77777777" w:rsidR="00373E92" w:rsidRPr="00EA2734" w:rsidRDefault="00373E92" w:rsidP="00373E92">
      <w:pPr>
        <w:pStyle w:val="MsrParagraph"/>
        <w:spacing w:line="276" w:lineRule="auto"/>
        <w:ind w:firstLine="0"/>
        <w:rPr>
          <w:sz w:val="20"/>
          <w:szCs w:val="20"/>
          <w:lang w:val="en-GB"/>
        </w:rPr>
      </w:pPr>
    </w:p>
    <w:p w14:paraId="0ABCD9E5" w14:textId="5F850EE9" w:rsidR="00373E92" w:rsidRPr="00EA2734" w:rsidRDefault="001D6964" w:rsidP="00373E92">
      <w:pPr>
        <w:pStyle w:val="Assetnumerowanieboldem"/>
        <w:numPr>
          <w:ilvl w:val="1"/>
          <w:numId w:val="8"/>
        </w:numPr>
        <w:spacing w:after="120" w:line="360" w:lineRule="auto"/>
        <w:ind w:left="567" w:hanging="567"/>
        <w:rPr>
          <w:rFonts w:ascii="Arial Narrow" w:eastAsia="Arial Unicode MS" w:hAnsi="Arial Narrow"/>
          <w:sz w:val="20"/>
          <w:szCs w:val="20"/>
          <w:lang w:val="en-GB"/>
        </w:rPr>
      </w:pPr>
      <w:r w:rsidRPr="00EA2734">
        <w:rPr>
          <w:rFonts w:ascii="Arial Narrow" w:eastAsia="Arial Unicode MS" w:hAnsi="Arial Narrow"/>
          <w:sz w:val="20"/>
          <w:szCs w:val="20"/>
          <w:lang w:val="en-GB"/>
        </w:rPr>
        <w:t>Risk of industry consolidation.</w:t>
      </w:r>
    </w:p>
    <w:p w14:paraId="09FFDFF7" w14:textId="0E99EB6C" w:rsidR="00373E92" w:rsidRPr="00EA2734" w:rsidRDefault="001D6964" w:rsidP="00373E92">
      <w:pPr>
        <w:pStyle w:val="MsrParagraph"/>
        <w:spacing w:line="276" w:lineRule="auto"/>
        <w:ind w:firstLine="0"/>
        <w:rPr>
          <w:sz w:val="20"/>
          <w:szCs w:val="20"/>
          <w:lang w:val="en-GB"/>
        </w:rPr>
      </w:pPr>
      <w:r w:rsidRPr="00EA2734">
        <w:rPr>
          <w:sz w:val="20"/>
          <w:szCs w:val="20"/>
          <w:lang w:val="en-GB"/>
        </w:rPr>
        <w:t>Consolidation processes in the IT sector help reinforce the market position of several largest businesses, limiting growth potential of small and medium-sized enterprises in the ICT market. The strongest domestic businesses strive to take over weaker enterprises, especially from the SME sector, providing to niche segments of the IT market. As a result, the largest businesses expand their competences and gain access to new customer groups. If consolidation activities intensify significantly, the Issuer may lose its market position, which may lead to a decline in sales and financial performance of the Company.</w:t>
      </w:r>
    </w:p>
    <w:p w14:paraId="383FBBEE" w14:textId="41E93B7E" w:rsidR="00373E92" w:rsidRPr="00EA2734" w:rsidRDefault="00310FDB" w:rsidP="00373E92">
      <w:pPr>
        <w:pStyle w:val="MsrParagraph"/>
        <w:spacing w:line="276" w:lineRule="auto"/>
        <w:ind w:firstLine="0"/>
        <w:rPr>
          <w:sz w:val="20"/>
          <w:szCs w:val="20"/>
          <w:lang w:val="en-GB"/>
        </w:rPr>
      </w:pPr>
      <w:r w:rsidRPr="00EA2734">
        <w:rPr>
          <w:sz w:val="20"/>
          <w:szCs w:val="20"/>
          <w:lang w:val="en-GB"/>
        </w:rPr>
        <w:t xml:space="preserve">The Issuer’s Management Board anticipates dynamic growth of operations due to the development works completed in preceding years. The Issuer fully benefits from cutting-edge infrastructure and technological solutions concentrated in the </w:t>
      </w:r>
      <w:proofErr w:type="spellStart"/>
      <w:r w:rsidRPr="00EA2734">
        <w:rPr>
          <w:sz w:val="20"/>
          <w:szCs w:val="20"/>
          <w:lang w:val="en-GB"/>
        </w:rPr>
        <w:t>OPTeam</w:t>
      </w:r>
      <w:proofErr w:type="spellEnd"/>
      <w:r w:rsidRPr="00EA2734">
        <w:rPr>
          <w:sz w:val="20"/>
          <w:szCs w:val="20"/>
          <w:lang w:val="en-GB"/>
        </w:rPr>
        <w:t xml:space="preserve"> SA Design </w:t>
      </w:r>
      <w:proofErr w:type="spellStart"/>
      <w:r w:rsidRPr="00EA2734">
        <w:rPr>
          <w:sz w:val="20"/>
          <w:szCs w:val="20"/>
          <w:lang w:val="en-GB"/>
        </w:rPr>
        <w:t>Center</w:t>
      </w:r>
      <w:proofErr w:type="spellEnd"/>
      <w:r w:rsidRPr="00EA2734">
        <w:rPr>
          <w:sz w:val="20"/>
          <w:szCs w:val="20"/>
          <w:lang w:val="en-GB"/>
        </w:rPr>
        <w:t xml:space="preserve"> of Modern Technologies in </w:t>
      </w:r>
      <w:proofErr w:type="spellStart"/>
      <w:r w:rsidRPr="00EA2734">
        <w:rPr>
          <w:sz w:val="20"/>
          <w:szCs w:val="20"/>
          <w:lang w:val="en-GB"/>
        </w:rPr>
        <w:t>Tajęcina</w:t>
      </w:r>
      <w:proofErr w:type="spellEnd"/>
      <w:r w:rsidRPr="00EA2734">
        <w:rPr>
          <w:sz w:val="20"/>
          <w:szCs w:val="20"/>
          <w:lang w:val="en-GB"/>
        </w:rPr>
        <w:t xml:space="preserve"> (currently, the Company’s head office). Ongoing and planned activities related to the development of proprietary products, building new skills in specialist services should help change the profile of Company sales towards increasing the share of proprietary products and specialist services.</w:t>
      </w:r>
    </w:p>
    <w:p w14:paraId="001971F5" w14:textId="2B9C1F86" w:rsidR="00373E92" w:rsidRPr="00EA2734" w:rsidRDefault="00310FDB" w:rsidP="00373E92">
      <w:pPr>
        <w:pStyle w:val="MsrParagraph"/>
        <w:spacing w:line="276" w:lineRule="auto"/>
        <w:ind w:firstLine="0"/>
        <w:rPr>
          <w:sz w:val="20"/>
          <w:szCs w:val="20"/>
          <w:lang w:val="en-GB"/>
        </w:rPr>
      </w:pPr>
      <w:r w:rsidRPr="00EA2734">
        <w:rPr>
          <w:sz w:val="20"/>
          <w:szCs w:val="20"/>
          <w:lang w:val="en-GB"/>
        </w:rPr>
        <w:t>The Company also continues territorial expansion running activity in branches: in Warsaw, Lublin and Cracow. Its goal is to reach out to new customers with the Company’s comprehensive offer. The Issuer is also open to taking over smaller businesses from the sector to expand its offer and scope of operations.</w:t>
      </w:r>
    </w:p>
    <w:p w14:paraId="6B3564F8" w14:textId="295CBBFE" w:rsidR="00373E92" w:rsidRPr="00EA2734" w:rsidRDefault="00310FDB" w:rsidP="00373E92">
      <w:pPr>
        <w:pStyle w:val="MsrParagraph"/>
        <w:spacing w:line="276" w:lineRule="auto"/>
        <w:ind w:firstLine="0"/>
        <w:rPr>
          <w:sz w:val="20"/>
          <w:szCs w:val="20"/>
          <w:lang w:val="en-GB"/>
        </w:rPr>
      </w:pPr>
      <w:r w:rsidRPr="00EA2734">
        <w:rPr>
          <w:sz w:val="20"/>
          <w:szCs w:val="20"/>
          <w:lang w:val="en-GB"/>
        </w:rPr>
        <w:t>In the coming years, these activities should improve the rate of return on sales and increase the scale of operations, which should translate into increasing the Issuer’s investment appeal, hence the danger resulting from this risk is little.</w:t>
      </w:r>
      <w:r w:rsidR="00373E92" w:rsidRPr="00EA2734">
        <w:rPr>
          <w:sz w:val="20"/>
          <w:szCs w:val="20"/>
          <w:lang w:val="en-GB"/>
        </w:rPr>
        <w:t xml:space="preserve"> </w:t>
      </w:r>
    </w:p>
    <w:p w14:paraId="7A6F7B4C" w14:textId="77777777" w:rsidR="00373E92" w:rsidRPr="00EA2734" w:rsidRDefault="00373E92" w:rsidP="00373E92">
      <w:pPr>
        <w:pStyle w:val="MsrParagraph"/>
        <w:spacing w:line="276" w:lineRule="auto"/>
        <w:ind w:firstLine="0"/>
        <w:rPr>
          <w:sz w:val="20"/>
          <w:szCs w:val="20"/>
          <w:lang w:val="en-GB"/>
        </w:rPr>
      </w:pPr>
    </w:p>
    <w:p w14:paraId="21DA0E2B" w14:textId="65A4BC1D" w:rsidR="00373E92" w:rsidRPr="00EA2734" w:rsidRDefault="00310FDB" w:rsidP="00373E92">
      <w:pPr>
        <w:pStyle w:val="Assetnumerowanieboldem"/>
        <w:numPr>
          <w:ilvl w:val="1"/>
          <w:numId w:val="8"/>
        </w:numPr>
        <w:spacing w:after="120" w:line="360" w:lineRule="auto"/>
        <w:ind w:left="567" w:hanging="567"/>
        <w:rPr>
          <w:rFonts w:ascii="Arial Narrow" w:eastAsia="Arial Unicode MS" w:hAnsi="Arial Narrow"/>
          <w:sz w:val="20"/>
          <w:szCs w:val="20"/>
          <w:lang w:val="en-GB"/>
        </w:rPr>
      </w:pPr>
      <w:r w:rsidRPr="00EA2734">
        <w:rPr>
          <w:rFonts w:ascii="Arial Narrow" w:eastAsia="Arial Unicode MS" w:hAnsi="Arial Narrow"/>
          <w:sz w:val="20"/>
          <w:szCs w:val="20"/>
          <w:lang w:val="en-GB"/>
        </w:rPr>
        <w:t>Risk of competition.</w:t>
      </w:r>
    </w:p>
    <w:p w14:paraId="1F35CB79" w14:textId="7BD19141" w:rsidR="00310FDB" w:rsidRPr="00EA2734" w:rsidRDefault="00310FDB" w:rsidP="00310FDB">
      <w:pPr>
        <w:pStyle w:val="MsrParagraph"/>
        <w:spacing w:line="276" w:lineRule="auto"/>
        <w:ind w:firstLine="0"/>
        <w:rPr>
          <w:sz w:val="20"/>
          <w:szCs w:val="20"/>
          <w:lang w:val="en-GB"/>
        </w:rPr>
      </w:pPr>
      <w:r w:rsidRPr="00EA2734">
        <w:rPr>
          <w:sz w:val="20"/>
          <w:szCs w:val="20"/>
          <w:lang w:val="en-GB"/>
        </w:rPr>
        <w:t>Poland’s accession to the European Union brought new players into the Issuer’s playing field, operating on an international scale. Those entities are not the Issuer’s main competitors, however. Due to a better knowledge of the domestic market, Polish companies pose a bigger  threat  to its competitive  position.  There is a risk of intensified competition in the Issuer’s business segments, and if the Investor’s response is not quick enough, it may lead to loss of market share, decline in revenues from sales and financial results.</w:t>
      </w:r>
    </w:p>
    <w:p w14:paraId="4E161CD6" w14:textId="31BE59F5" w:rsidR="00373E92" w:rsidRPr="00EA2734" w:rsidRDefault="00310FDB" w:rsidP="00373E92">
      <w:pPr>
        <w:pStyle w:val="MsrParagraph"/>
        <w:spacing w:line="276" w:lineRule="auto"/>
        <w:ind w:firstLine="0"/>
        <w:rPr>
          <w:sz w:val="20"/>
          <w:szCs w:val="20"/>
          <w:lang w:val="en-GB"/>
        </w:rPr>
      </w:pPr>
      <w:r w:rsidRPr="00EA2734">
        <w:rPr>
          <w:sz w:val="20"/>
          <w:szCs w:val="20"/>
          <w:lang w:val="en-GB"/>
        </w:rPr>
        <w:t>The Issuer is moderately exposed to the risk related to competition’s activity. It should be highlighted that by having a numerous group of regular trade partners and a very flexible process of production and system implementation, as well as due to the adopted growth strategy, the Issuer should be able to considerably limit the effects of enhanced competition in its market.</w:t>
      </w:r>
    </w:p>
    <w:p w14:paraId="0F0E1A0B" w14:textId="77777777" w:rsidR="00310FDB" w:rsidRPr="00EA2734" w:rsidRDefault="00310FDB" w:rsidP="00310FDB">
      <w:pPr>
        <w:rPr>
          <w:lang w:val="en-GB"/>
        </w:rPr>
      </w:pPr>
    </w:p>
    <w:p w14:paraId="415D16FB" w14:textId="77777777" w:rsidR="00373E92" w:rsidRPr="00EA2734" w:rsidRDefault="00373E92" w:rsidP="00373E92">
      <w:pPr>
        <w:pStyle w:val="MsrParagraph"/>
        <w:spacing w:line="276" w:lineRule="auto"/>
        <w:ind w:firstLine="0"/>
        <w:rPr>
          <w:sz w:val="20"/>
          <w:szCs w:val="20"/>
          <w:lang w:val="en-GB"/>
        </w:rPr>
      </w:pPr>
    </w:p>
    <w:p w14:paraId="2B4781D6" w14:textId="6E8DE2D8" w:rsidR="00373E92" w:rsidRPr="00EA2734" w:rsidRDefault="00A72D62" w:rsidP="00373E92">
      <w:pPr>
        <w:pStyle w:val="Assetnumerowanieboldem"/>
        <w:numPr>
          <w:ilvl w:val="1"/>
          <w:numId w:val="8"/>
        </w:numPr>
        <w:spacing w:after="120" w:line="360" w:lineRule="auto"/>
        <w:ind w:left="567" w:hanging="567"/>
        <w:rPr>
          <w:rFonts w:ascii="Arial Narrow" w:eastAsia="Arial Unicode MS" w:hAnsi="Arial Narrow"/>
          <w:sz w:val="20"/>
          <w:szCs w:val="20"/>
          <w:lang w:val="en-GB"/>
        </w:rPr>
      </w:pPr>
      <w:r w:rsidRPr="00EA2734">
        <w:rPr>
          <w:rFonts w:ascii="Arial Narrow" w:eastAsia="Arial Unicode MS" w:hAnsi="Arial Narrow"/>
          <w:sz w:val="20"/>
          <w:szCs w:val="20"/>
          <w:lang w:val="en-GB"/>
        </w:rPr>
        <w:lastRenderedPageBreak/>
        <w:t>Risk related to the suppliers’ changed commercial terms.</w:t>
      </w:r>
    </w:p>
    <w:p w14:paraId="714CC2BC" w14:textId="54446650" w:rsidR="00373E92" w:rsidRPr="00EA2734" w:rsidRDefault="00A72D62" w:rsidP="00373E92">
      <w:pPr>
        <w:pStyle w:val="MsrParagraph"/>
        <w:spacing w:line="276" w:lineRule="auto"/>
        <w:ind w:firstLine="0"/>
        <w:rPr>
          <w:sz w:val="20"/>
          <w:szCs w:val="20"/>
          <w:lang w:val="en-GB"/>
        </w:rPr>
      </w:pPr>
      <w:r w:rsidRPr="00EA2734">
        <w:rPr>
          <w:sz w:val="20"/>
          <w:szCs w:val="20"/>
          <w:lang w:val="en-GB"/>
        </w:rPr>
        <w:t>With regard to IT system integration, the Issuer supplies equipment and technologies from manufacturers which can be regarded as global market leaders. The bargaining power of those companies is often incomparably stronger than the Issuer’s, and terms of cooperation with customers are usually determined centrally and are non- negotiable. In the Issuer’s experience, an unfavourable change in the terms of cooperation with equipment and technology suppliers may not be transferred directly to the terms of cooperation with the Company and its customers.  As a result, the Company’s rate of return and liquidity may deteriorate, in spite of the supplier diversification policy in place.</w:t>
      </w:r>
    </w:p>
    <w:p w14:paraId="28D797E4" w14:textId="77777777" w:rsidR="00373E92" w:rsidRPr="00EA2734" w:rsidRDefault="00373E92" w:rsidP="00373E92">
      <w:pPr>
        <w:pStyle w:val="MsrParagraph"/>
        <w:spacing w:line="276" w:lineRule="auto"/>
        <w:ind w:firstLine="0"/>
        <w:rPr>
          <w:sz w:val="20"/>
          <w:szCs w:val="20"/>
          <w:lang w:val="en-GB"/>
        </w:rPr>
      </w:pPr>
    </w:p>
    <w:p w14:paraId="71EAC763" w14:textId="5F15EFFD" w:rsidR="00373E92" w:rsidRPr="00EA2734" w:rsidRDefault="00A72D62" w:rsidP="00373E92">
      <w:pPr>
        <w:pStyle w:val="Assetnumerowanieboldem"/>
        <w:numPr>
          <w:ilvl w:val="1"/>
          <w:numId w:val="8"/>
        </w:numPr>
        <w:spacing w:after="120" w:line="360" w:lineRule="auto"/>
        <w:ind w:left="567" w:hanging="567"/>
        <w:rPr>
          <w:rFonts w:ascii="Arial Narrow" w:eastAsia="Arial Unicode MS" w:hAnsi="Arial Narrow"/>
          <w:sz w:val="20"/>
          <w:szCs w:val="20"/>
          <w:lang w:val="en-GB"/>
        </w:rPr>
      </w:pPr>
      <w:r w:rsidRPr="00EA2734">
        <w:rPr>
          <w:rFonts w:ascii="Arial Narrow" w:eastAsia="Arial Unicode MS" w:hAnsi="Arial Narrow"/>
          <w:sz w:val="20"/>
          <w:szCs w:val="20"/>
          <w:lang w:val="en-GB"/>
        </w:rPr>
        <w:t>Risk related to IT projects executed by the Issuer.</w:t>
      </w:r>
    </w:p>
    <w:p w14:paraId="56F01EB2" w14:textId="67A4B073" w:rsidR="00373E92" w:rsidRPr="00EA2734" w:rsidRDefault="00373E92" w:rsidP="00373E92">
      <w:pPr>
        <w:pStyle w:val="MsrParagraph"/>
        <w:spacing w:line="276" w:lineRule="auto"/>
        <w:ind w:firstLine="0"/>
        <w:rPr>
          <w:sz w:val="20"/>
          <w:szCs w:val="20"/>
          <w:lang w:val="en-GB"/>
        </w:rPr>
      </w:pPr>
      <w:r w:rsidRPr="00EA2734">
        <w:rPr>
          <w:sz w:val="20"/>
          <w:szCs w:val="20"/>
          <w:lang w:val="en-GB"/>
        </w:rPr>
        <w:t>.</w:t>
      </w:r>
      <w:r w:rsidR="00A72D62" w:rsidRPr="00EA2734">
        <w:rPr>
          <w:lang w:val="en-GB"/>
        </w:rPr>
        <w:t xml:space="preserve"> </w:t>
      </w:r>
      <w:r w:rsidR="00A72D62" w:rsidRPr="00EA2734">
        <w:rPr>
          <w:sz w:val="20"/>
          <w:szCs w:val="20"/>
          <w:lang w:val="en-GB"/>
        </w:rPr>
        <w:t>The scope of the Issuer’s operations includes providing IT services, particularly with regard to integration of advanced IT solutions, systems based on smart card technologies and ERP systems. Agreements concluded between the Issuer and its clients provide for the Issuer to execute certain activities comprising an IT project. Within the framework of a single IT project, proper cooperation is necessary between the project team originating from the Company and employees delegated by the service buyer. This generates a certain risk of human error. On the one hand, the conditions and circumstances of the service may be defined incorrectly by the service buyer’s team, and on the other, the Issuer’s staff may take an inappropriate approach. As a result, they may fail to deliver the right solution to the service buyer. This may lead to the latter incurring losses and consequently claiming damages from the Issuer, prolonging the involvement in the IT project, delaying payment. Such steps may have a negative impact on the Issuer’s situation, hence the dangers resulting from that risk are qualified as moderate</w:t>
      </w:r>
      <w:r w:rsidR="001A5499" w:rsidRPr="00EA2734">
        <w:rPr>
          <w:sz w:val="20"/>
          <w:szCs w:val="20"/>
          <w:lang w:val="en-GB"/>
        </w:rPr>
        <w:t>.</w:t>
      </w:r>
    </w:p>
    <w:p w14:paraId="54D664B6" w14:textId="34120910" w:rsidR="00373E92" w:rsidRPr="00EA2734" w:rsidRDefault="001A5499" w:rsidP="00373E92">
      <w:pPr>
        <w:pStyle w:val="MsrParagraph"/>
        <w:spacing w:line="276" w:lineRule="auto"/>
        <w:ind w:firstLine="0"/>
        <w:rPr>
          <w:sz w:val="20"/>
          <w:szCs w:val="20"/>
          <w:lang w:val="en-GB"/>
        </w:rPr>
      </w:pPr>
      <w:r w:rsidRPr="00EA2734">
        <w:rPr>
          <w:sz w:val="20"/>
          <w:szCs w:val="20"/>
          <w:lang w:val="en-GB"/>
        </w:rPr>
        <w:t>To minimise this risk factor, procedures have been put in place and are applied consistently in project management and project execution monitoring, including project finance, using implemented software. The Issuer implemented such tools and gradually develops them. At present, further works are pending, aimed at correlating the project management solutions with the product structure offered by the Company.</w:t>
      </w:r>
    </w:p>
    <w:p w14:paraId="3FE26FFC" w14:textId="77777777" w:rsidR="00373E92" w:rsidRPr="00EA2734" w:rsidRDefault="00373E92" w:rsidP="00373E92">
      <w:pPr>
        <w:pStyle w:val="MsrParagraph"/>
        <w:spacing w:line="276" w:lineRule="auto"/>
        <w:ind w:firstLine="0"/>
        <w:rPr>
          <w:sz w:val="20"/>
          <w:szCs w:val="20"/>
          <w:lang w:val="en-GB"/>
        </w:rPr>
      </w:pPr>
    </w:p>
    <w:p w14:paraId="6CEEF687" w14:textId="32F28A1F" w:rsidR="00373E92" w:rsidRPr="00EA2734" w:rsidRDefault="001A5499" w:rsidP="00373E92">
      <w:pPr>
        <w:pStyle w:val="Assetnumerowanieboldem"/>
        <w:numPr>
          <w:ilvl w:val="1"/>
          <w:numId w:val="8"/>
        </w:numPr>
        <w:spacing w:after="120" w:line="360" w:lineRule="auto"/>
        <w:ind w:left="567" w:hanging="567"/>
        <w:rPr>
          <w:rFonts w:ascii="Arial Narrow" w:eastAsia="Arial Unicode MS" w:hAnsi="Arial Narrow"/>
          <w:sz w:val="20"/>
          <w:szCs w:val="20"/>
          <w:lang w:val="en-GB"/>
        </w:rPr>
      </w:pPr>
      <w:r w:rsidRPr="00EA2734">
        <w:rPr>
          <w:rFonts w:ascii="Arial Narrow" w:eastAsia="Arial Unicode MS" w:hAnsi="Arial Narrow"/>
          <w:sz w:val="20"/>
          <w:szCs w:val="20"/>
          <w:lang w:val="en-GB"/>
        </w:rPr>
        <w:t>Financial instruments with regard to price, credit risk and others.</w:t>
      </w:r>
    </w:p>
    <w:p w14:paraId="26748D09" w14:textId="5ABC09B9" w:rsidR="00373E92" w:rsidRPr="00EA2734" w:rsidRDefault="001A5499" w:rsidP="00373E92">
      <w:pPr>
        <w:pStyle w:val="MsrParagraph"/>
        <w:spacing w:line="276" w:lineRule="auto"/>
        <w:ind w:firstLine="0"/>
        <w:rPr>
          <w:sz w:val="20"/>
          <w:szCs w:val="20"/>
          <w:lang w:val="en-GB"/>
        </w:rPr>
      </w:pPr>
      <w:r w:rsidRPr="00EA2734">
        <w:rPr>
          <w:sz w:val="20"/>
          <w:szCs w:val="20"/>
          <w:lang w:val="en-GB"/>
        </w:rPr>
        <w:t xml:space="preserve">The Company is not exposed to significant financial instrument risks, seen as the main financial instruments as of the date of this report were cash in the Polish currency, trade and other receivables, shares in Polish </w:t>
      </w:r>
      <w:proofErr w:type="spellStart"/>
      <w:r w:rsidRPr="00EA2734">
        <w:rPr>
          <w:sz w:val="20"/>
          <w:szCs w:val="20"/>
          <w:lang w:val="en-GB"/>
        </w:rPr>
        <w:t>ePayment</w:t>
      </w:r>
      <w:proofErr w:type="spellEnd"/>
      <w:r w:rsidRPr="00EA2734">
        <w:rPr>
          <w:sz w:val="20"/>
          <w:szCs w:val="20"/>
          <w:lang w:val="en-GB"/>
        </w:rPr>
        <w:t>, as well as liabilities under trade, loans, leases titles. Taking into account the above, due to small range of transactions in foreign currencies, the currency risk is not significant.</w:t>
      </w:r>
    </w:p>
    <w:p w14:paraId="60534CA3" w14:textId="141674E1" w:rsidR="00373E92" w:rsidRPr="00EA2734" w:rsidRDefault="001A5499" w:rsidP="00373E92">
      <w:pPr>
        <w:pStyle w:val="MsrParagraph"/>
        <w:spacing w:line="276" w:lineRule="auto"/>
        <w:ind w:firstLine="0"/>
        <w:rPr>
          <w:sz w:val="20"/>
          <w:szCs w:val="20"/>
          <w:lang w:val="en-GB"/>
        </w:rPr>
      </w:pPr>
      <w:r w:rsidRPr="00EA2734">
        <w:rPr>
          <w:sz w:val="20"/>
          <w:szCs w:val="20"/>
          <w:lang w:val="en-GB"/>
        </w:rPr>
        <w:t xml:space="preserve">The Issuer has contingent liabilities due to guarantee for liabilities of an affiliated company Centre of Electronic Clearance Polish </w:t>
      </w:r>
      <w:proofErr w:type="spellStart"/>
      <w:r w:rsidRPr="00EA2734">
        <w:rPr>
          <w:sz w:val="20"/>
          <w:szCs w:val="20"/>
          <w:lang w:val="en-GB"/>
        </w:rPr>
        <w:t>ePayment</w:t>
      </w:r>
      <w:proofErr w:type="spellEnd"/>
      <w:r w:rsidRPr="00EA2734">
        <w:rPr>
          <w:sz w:val="20"/>
          <w:szCs w:val="20"/>
          <w:lang w:val="en-GB"/>
        </w:rPr>
        <w:t xml:space="preserve"> SA with its seat in </w:t>
      </w:r>
      <w:proofErr w:type="spellStart"/>
      <w:r w:rsidRPr="00EA2734">
        <w:rPr>
          <w:sz w:val="20"/>
          <w:szCs w:val="20"/>
          <w:lang w:val="en-GB"/>
        </w:rPr>
        <w:t>Rzeszów</w:t>
      </w:r>
      <w:proofErr w:type="spellEnd"/>
      <w:r w:rsidRPr="00EA2734">
        <w:rPr>
          <w:sz w:val="20"/>
          <w:szCs w:val="20"/>
          <w:lang w:val="en-GB"/>
        </w:rPr>
        <w:t xml:space="preserve">. </w:t>
      </w:r>
      <w:r w:rsidR="00F648CA" w:rsidRPr="00EA2734">
        <w:rPr>
          <w:sz w:val="20"/>
          <w:szCs w:val="20"/>
          <w:lang w:val="en-GB"/>
        </w:rPr>
        <w:t>By signing the surety</w:t>
      </w:r>
      <w:r w:rsidRPr="00EA2734">
        <w:rPr>
          <w:sz w:val="20"/>
          <w:szCs w:val="20"/>
          <w:lang w:val="en-GB"/>
        </w:rPr>
        <w:t xml:space="preserve"> agreements the </w:t>
      </w:r>
      <w:r w:rsidR="00F648CA" w:rsidRPr="00EA2734">
        <w:rPr>
          <w:sz w:val="20"/>
          <w:szCs w:val="20"/>
          <w:lang w:val="en-GB"/>
        </w:rPr>
        <w:t xml:space="preserve">Issuer consented to extend joint and several surety with Polish Security Printing Works in Warsaw, the other shareholder of Polish </w:t>
      </w:r>
      <w:proofErr w:type="spellStart"/>
      <w:r w:rsidR="00F648CA" w:rsidRPr="00EA2734">
        <w:rPr>
          <w:sz w:val="20"/>
          <w:szCs w:val="20"/>
          <w:lang w:val="en-GB"/>
        </w:rPr>
        <w:t>ePayment</w:t>
      </w:r>
      <w:proofErr w:type="spellEnd"/>
      <w:r w:rsidR="00F648CA" w:rsidRPr="00EA2734">
        <w:rPr>
          <w:sz w:val="20"/>
          <w:szCs w:val="20"/>
          <w:lang w:val="en-GB"/>
        </w:rPr>
        <w:t>,</w:t>
      </w:r>
      <w:r w:rsidR="00EA2734">
        <w:rPr>
          <w:sz w:val="20"/>
          <w:szCs w:val="20"/>
          <w:lang w:val="en-GB"/>
        </w:rPr>
        <w:t xml:space="preserve"> </w:t>
      </w:r>
      <w:bookmarkStart w:id="136" w:name="_GoBack"/>
      <w:bookmarkEnd w:id="136"/>
      <w:r w:rsidR="00F648CA" w:rsidRPr="00EA2734">
        <w:rPr>
          <w:sz w:val="20"/>
          <w:szCs w:val="20"/>
          <w:lang w:val="en-GB"/>
        </w:rPr>
        <w:t xml:space="preserve">for the liabilities of Polish </w:t>
      </w:r>
      <w:proofErr w:type="spellStart"/>
      <w:r w:rsidR="00F648CA" w:rsidRPr="00EA2734">
        <w:rPr>
          <w:sz w:val="20"/>
          <w:szCs w:val="20"/>
          <w:lang w:val="en-GB"/>
        </w:rPr>
        <w:t>ePayment</w:t>
      </w:r>
      <w:proofErr w:type="spellEnd"/>
      <w:r w:rsidR="00F648CA" w:rsidRPr="00EA2734">
        <w:rPr>
          <w:sz w:val="20"/>
          <w:szCs w:val="20"/>
          <w:lang w:val="en-GB"/>
        </w:rPr>
        <w:t xml:space="preserve"> towards one of its suppliers.</w:t>
      </w:r>
    </w:p>
    <w:p w14:paraId="76AFF628" w14:textId="464D9160" w:rsidR="00373E92" w:rsidRPr="00EA2734" w:rsidRDefault="00E618DA" w:rsidP="00373E92">
      <w:pPr>
        <w:pStyle w:val="MsrParagraph"/>
        <w:spacing w:line="276" w:lineRule="auto"/>
        <w:ind w:firstLine="0"/>
        <w:rPr>
          <w:sz w:val="20"/>
          <w:szCs w:val="20"/>
          <w:lang w:val="en-GB"/>
        </w:rPr>
      </w:pPr>
      <w:r w:rsidRPr="00EA2734">
        <w:rPr>
          <w:sz w:val="20"/>
          <w:szCs w:val="20"/>
          <w:lang w:val="en-GB"/>
        </w:rPr>
        <w:t xml:space="preserve">There is a potential risk of occurrence of conditions determining enforcement of loan agreements sureties by the Bank. In the Issuer’s Management Board opinion, taking into consideration the potential of Polish </w:t>
      </w:r>
      <w:proofErr w:type="spellStart"/>
      <w:r w:rsidRPr="00EA2734">
        <w:rPr>
          <w:sz w:val="20"/>
          <w:szCs w:val="20"/>
          <w:lang w:val="en-GB"/>
        </w:rPr>
        <w:t>ePayment</w:t>
      </w:r>
      <w:proofErr w:type="spellEnd"/>
      <w:r w:rsidRPr="00EA2734">
        <w:rPr>
          <w:sz w:val="20"/>
          <w:szCs w:val="20"/>
          <w:lang w:val="en-GB"/>
        </w:rPr>
        <w:t xml:space="preserve"> and the volume of its economic indicators, the risk is small. </w:t>
      </w:r>
    </w:p>
    <w:p w14:paraId="35908572" w14:textId="77777777" w:rsidR="00373E92" w:rsidRPr="00EA2734" w:rsidRDefault="00373E92" w:rsidP="00D402E2">
      <w:pPr>
        <w:pStyle w:val="Assetnumerowanieboldem"/>
        <w:numPr>
          <w:ilvl w:val="0"/>
          <w:numId w:val="0"/>
        </w:numPr>
        <w:ind w:left="1773"/>
        <w:rPr>
          <w:rFonts w:eastAsia="Arial Unicode MS"/>
          <w:sz w:val="20"/>
          <w:szCs w:val="20"/>
          <w:lang w:val="en-GB"/>
        </w:rPr>
      </w:pPr>
    </w:p>
    <w:p w14:paraId="72D22A55" w14:textId="63DAFC28" w:rsidR="005B6883" w:rsidRPr="00EA2734" w:rsidRDefault="00C73D6C" w:rsidP="00425257">
      <w:pPr>
        <w:pStyle w:val="MsrSection2"/>
        <w:numPr>
          <w:ilvl w:val="0"/>
          <w:numId w:val="8"/>
        </w:numPr>
        <w:jc w:val="both"/>
        <w:outlineLvl w:val="0"/>
        <w:rPr>
          <w:rFonts w:ascii="Arial Narrow" w:hAnsi="Arial Narrow" w:cs="Arial"/>
          <w:b w:val="0"/>
          <w:i w:val="0"/>
          <w:color w:val="002060"/>
          <w:sz w:val="28"/>
          <w:szCs w:val="22"/>
          <w:lang w:val="en-GB" w:eastAsia="pl-PL"/>
        </w:rPr>
      </w:pPr>
      <w:bookmarkStart w:id="137" w:name="_Toc465945647"/>
      <w:r w:rsidRPr="00EA2734">
        <w:rPr>
          <w:rFonts w:ascii="Arial Narrow" w:hAnsi="Arial Narrow" w:cs="Arial"/>
          <w:b w:val="0"/>
          <w:i w:val="0"/>
          <w:color w:val="002060"/>
          <w:sz w:val="28"/>
          <w:szCs w:val="22"/>
          <w:lang w:val="en-GB" w:eastAsia="pl-PL"/>
        </w:rPr>
        <w:t>Identification of proceedings at court, arbitration bodies of proper jurisdiction or public administration bodies.</w:t>
      </w:r>
      <w:bookmarkEnd w:id="137"/>
    </w:p>
    <w:p w14:paraId="03AEE0BD" w14:textId="77777777" w:rsidR="002452AB" w:rsidRPr="00EA2734" w:rsidRDefault="002452AB" w:rsidP="00E85B61">
      <w:pPr>
        <w:autoSpaceDE w:val="0"/>
        <w:autoSpaceDN w:val="0"/>
        <w:adjustRightInd w:val="0"/>
        <w:spacing w:after="120" w:line="360" w:lineRule="auto"/>
        <w:jc w:val="both"/>
        <w:rPr>
          <w:rFonts w:ascii="Arial Narrow" w:eastAsia="Arial Unicode MS" w:hAnsi="Arial Narrow" w:cs="Arial"/>
          <w:bCs/>
          <w:spacing w:val="1"/>
          <w:sz w:val="22"/>
          <w:szCs w:val="22"/>
          <w:lang w:val="en-GB"/>
        </w:rPr>
      </w:pPr>
    </w:p>
    <w:p w14:paraId="66F06ED3" w14:textId="63087E25" w:rsidR="00E85B61" w:rsidRPr="00EA2734" w:rsidRDefault="00E0511E" w:rsidP="00373E92">
      <w:pPr>
        <w:pStyle w:val="MsrParagraph"/>
        <w:spacing w:line="276" w:lineRule="auto"/>
        <w:ind w:firstLine="0"/>
        <w:rPr>
          <w:sz w:val="20"/>
          <w:szCs w:val="20"/>
          <w:lang w:val="en-GB"/>
        </w:rPr>
      </w:pPr>
      <w:r w:rsidRPr="00EA2734">
        <w:rPr>
          <w:sz w:val="20"/>
          <w:szCs w:val="20"/>
          <w:lang w:val="en-GB"/>
        </w:rPr>
        <w:t xml:space="preserve">As of 30 June 2016 and in the period covered by this Report, </w:t>
      </w:r>
      <w:proofErr w:type="spellStart"/>
      <w:r w:rsidRPr="00EA2734">
        <w:rPr>
          <w:sz w:val="20"/>
          <w:szCs w:val="20"/>
          <w:lang w:val="en-GB"/>
        </w:rPr>
        <w:t>OPTeam</w:t>
      </w:r>
      <w:proofErr w:type="spellEnd"/>
      <w:r w:rsidRPr="00EA2734">
        <w:rPr>
          <w:sz w:val="20"/>
          <w:szCs w:val="20"/>
          <w:lang w:val="en-GB"/>
        </w:rPr>
        <w:t xml:space="preserve"> S.A. was not involved in proceedings at court or another body regarding liabilities or debts, whose individual or combined amounts exceeded at least 10% of equity.</w:t>
      </w:r>
    </w:p>
    <w:p w14:paraId="7A17E9CD" w14:textId="77777777" w:rsidR="00E80ECD" w:rsidRPr="00EA2734" w:rsidRDefault="00E80ECD" w:rsidP="001474EE">
      <w:pPr>
        <w:autoSpaceDE w:val="0"/>
        <w:autoSpaceDN w:val="0"/>
        <w:adjustRightInd w:val="0"/>
        <w:spacing w:after="120" w:line="360" w:lineRule="auto"/>
        <w:jc w:val="both"/>
        <w:rPr>
          <w:rFonts w:ascii="Arial Narrow" w:eastAsia="Arial Unicode MS" w:hAnsi="Arial Narrow" w:cs="Arial"/>
          <w:bCs/>
          <w:spacing w:val="1"/>
          <w:sz w:val="22"/>
          <w:szCs w:val="22"/>
          <w:lang w:val="en-GB"/>
        </w:rPr>
      </w:pPr>
    </w:p>
    <w:p w14:paraId="520C88A1" w14:textId="3485CA8B" w:rsidR="003B263D" w:rsidRPr="00EA2734" w:rsidRDefault="00C73D6C" w:rsidP="00425257">
      <w:pPr>
        <w:pStyle w:val="MsrSection2"/>
        <w:numPr>
          <w:ilvl w:val="0"/>
          <w:numId w:val="8"/>
        </w:numPr>
        <w:jc w:val="both"/>
        <w:outlineLvl w:val="0"/>
        <w:rPr>
          <w:rFonts w:ascii="Arial Narrow" w:hAnsi="Arial Narrow" w:cs="Arial"/>
          <w:b w:val="0"/>
          <w:i w:val="0"/>
          <w:color w:val="002060"/>
          <w:sz w:val="28"/>
          <w:szCs w:val="22"/>
          <w:lang w:val="en-GB" w:eastAsia="pl-PL"/>
        </w:rPr>
      </w:pPr>
      <w:bookmarkStart w:id="138" w:name="_Toc465945648"/>
      <w:r w:rsidRPr="00EA2734">
        <w:rPr>
          <w:rFonts w:ascii="Arial Narrow" w:hAnsi="Arial Narrow" w:cs="Arial"/>
          <w:b w:val="0"/>
          <w:i w:val="0"/>
          <w:color w:val="002060"/>
          <w:sz w:val="28"/>
          <w:szCs w:val="22"/>
          <w:lang w:val="en-GB" w:eastAsia="pl-PL"/>
        </w:rPr>
        <w:lastRenderedPageBreak/>
        <w:t>The Management Board’s position on the viability of previously published performance forecasts.</w:t>
      </w:r>
      <w:bookmarkEnd w:id="138"/>
    </w:p>
    <w:p w14:paraId="45E26374" w14:textId="77777777" w:rsidR="003B263D" w:rsidRPr="00EA2734" w:rsidRDefault="003B263D" w:rsidP="003B263D">
      <w:pPr>
        <w:jc w:val="both"/>
        <w:rPr>
          <w:rFonts w:ascii="Arial Narrow" w:hAnsi="Arial Narrow" w:cs="Arial"/>
          <w:sz w:val="22"/>
          <w:szCs w:val="22"/>
          <w:lang w:val="en-GB"/>
        </w:rPr>
      </w:pPr>
    </w:p>
    <w:p w14:paraId="516A717C" w14:textId="0BB8039A" w:rsidR="00EA4757" w:rsidRPr="00EA2734" w:rsidRDefault="00E0511E" w:rsidP="00E0511E">
      <w:pPr>
        <w:pStyle w:val="MsrParagraph"/>
        <w:spacing w:line="276" w:lineRule="auto"/>
        <w:ind w:firstLine="0"/>
        <w:rPr>
          <w:rFonts w:cs="Arial"/>
          <w:sz w:val="22"/>
          <w:szCs w:val="22"/>
          <w:lang w:val="en-GB"/>
        </w:rPr>
      </w:pPr>
      <w:r w:rsidRPr="00EA2734">
        <w:rPr>
          <w:sz w:val="20"/>
          <w:szCs w:val="20"/>
          <w:lang w:val="en-GB"/>
        </w:rPr>
        <w:t>The Company did not publish forecasts for 2016.</w:t>
      </w:r>
    </w:p>
    <w:p w14:paraId="7B9076B6" w14:textId="1192D637" w:rsidR="00E1048A" w:rsidRPr="00EA2734" w:rsidRDefault="00C73D6C" w:rsidP="00E72D3A">
      <w:pPr>
        <w:pStyle w:val="MsrSection2"/>
        <w:numPr>
          <w:ilvl w:val="0"/>
          <w:numId w:val="8"/>
        </w:numPr>
        <w:jc w:val="both"/>
        <w:outlineLvl w:val="0"/>
        <w:rPr>
          <w:rFonts w:ascii="Arial Narrow" w:hAnsi="Arial Narrow" w:cs="Arial"/>
          <w:b w:val="0"/>
          <w:i w:val="0"/>
          <w:color w:val="002060"/>
          <w:sz w:val="28"/>
          <w:szCs w:val="22"/>
          <w:lang w:val="en-GB" w:eastAsia="pl-PL"/>
        </w:rPr>
      </w:pPr>
      <w:bookmarkStart w:id="139" w:name="_Toc465945649"/>
      <w:bookmarkStart w:id="140" w:name="_Toc256162544"/>
      <w:r w:rsidRPr="00EA2734">
        <w:rPr>
          <w:rFonts w:ascii="Arial Narrow" w:hAnsi="Arial Narrow" w:cs="Arial"/>
          <w:b w:val="0"/>
          <w:i w:val="0"/>
          <w:color w:val="002060"/>
          <w:sz w:val="28"/>
          <w:szCs w:val="22"/>
          <w:lang w:val="en-GB" w:eastAsia="pl-PL"/>
        </w:rPr>
        <w:t>Identification of shareholders holding at least 5% of the overall number of votes at the</w:t>
      </w:r>
      <w:r w:rsidR="00742A83" w:rsidRPr="00EA2734">
        <w:rPr>
          <w:rFonts w:ascii="Arial Narrow" w:hAnsi="Arial Narrow" w:cs="Arial"/>
          <w:b w:val="0"/>
          <w:i w:val="0"/>
          <w:color w:val="002060"/>
          <w:sz w:val="28"/>
          <w:szCs w:val="22"/>
          <w:lang w:val="en-GB" w:eastAsia="pl-PL"/>
        </w:rPr>
        <w:t xml:space="preserve"> Issuer’s general meeting direc</w:t>
      </w:r>
      <w:r w:rsidRPr="00EA2734">
        <w:rPr>
          <w:rFonts w:ascii="Arial Narrow" w:hAnsi="Arial Narrow" w:cs="Arial"/>
          <w:b w:val="0"/>
          <w:i w:val="0"/>
          <w:color w:val="002060"/>
          <w:sz w:val="28"/>
          <w:szCs w:val="22"/>
          <w:lang w:val="en-GB" w:eastAsia="pl-PL"/>
        </w:rPr>
        <w:t>t</w:t>
      </w:r>
      <w:r w:rsidR="00742A83" w:rsidRPr="00EA2734">
        <w:rPr>
          <w:rFonts w:ascii="Arial Narrow" w:hAnsi="Arial Narrow" w:cs="Arial"/>
          <w:b w:val="0"/>
          <w:i w:val="0"/>
          <w:color w:val="002060"/>
          <w:sz w:val="28"/>
          <w:szCs w:val="22"/>
          <w:lang w:val="en-GB" w:eastAsia="pl-PL"/>
        </w:rPr>
        <w:t>l</w:t>
      </w:r>
      <w:r w:rsidRPr="00EA2734">
        <w:rPr>
          <w:rFonts w:ascii="Arial Narrow" w:hAnsi="Arial Narrow" w:cs="Arial"/>
          <w:b w:val="0"/>
          <w:i w:val="0"/>
          <w:color w:val="002060"/>
          <w:sz w:val="28"/>
          <w:szCs w:val="22"/>
          <w:lang w:val="en-GB" w:eastAsia="pl-PL"/>
        </w:rPr>
        <w:t>y or indirectly through subsidiaries as of the semi-annual report publication date.</w:t>
      </w:r>
      <w:bookmarkEnd w:id="139"/>
      <w:r w:rsidR="00072DC5" w:rsidRPr="00EA2734">
        <w:rPr>
          <w:rFonts w:ascii="Arial Narrow" w:hAnsi="Arial Narrow" w:cs="Arial"/>
          <w:b w:val="0"/>
          <w:i w:val="0"/>
          <w:color w:val="002060"/>
          <w:sz w:val="28"/>
          <w:szCs w:val="22"/>
          <w:lang w:val="en-GB" w:eastAsia="pl-PL"/>
        </w:rPr>
        <w:t xml:space="preserve">       </w:t>
      </w:r>
      <w:r w:rsidR="00E1048A" w:rsidRPr="00EA2734">
        <w:rPr>
          <w:rFonts w:ascii="Arial Narrow" w:hAnsi="Arial Narrow" w:cs="Arial"/>
          <w:b w:val="0"/>
          <w:i w:val="0"/>
          <w:color w:val="002060"/>
          <w:sz w:val="28"/>
          <w:szCs w:val="22"/>
          <w:lang w:val="en-GB" w:eastAsia="pl-PL"/>
        </w:rPr>
        <w:t xml:space="preserve"> </w:t>
      </w:r>
      <w:bookmarkStart w:id="141" w:name="_Toc176246637"/>
      <w:bookmarkEnd w:id="140"/>
    </w:p>
    <w:bookmarkEnd w:id="141"/>
    <w:p w14:paraId="70272E0F" w14:textId="77777777" w:rsidR="00072DC5" w:rsidRPr="00EA2734" w:rsidRDefault="00072DC5" w:rsidP="00E1048A">
      <w:pPr>
        <w:widowControl w:val="0"/>
        <w:autoSpaceDE w:val="0"/>
        <w:autoSpaceDN w:val="0"/>
        <w:adjustRightInd w:val="0"/>
        <w:jc w:val="both"/>
        <w:rPr>
          <w:rFonts w:ascii="Arial Narrow" w:hAnsi="Arial Narrow" w:cs="Arial"/>
          <w:sz w:val="22"/>
          <w:szCs w:val="22"/>
          <w:lang w:val="en-GB"/>
        </w:rPr>
      </w:pPr>
    </w:p>
    <w:p w14:paraId="2A1EDEBA" w14:textId="4930C52F" w:rsidR="00EA4757" w:rsidRPr="00EA2734" w:rsidRDefault="00CA56F2" w:rsidP="00373E92">
      <w:pPr>
        <w:pStyle w:val="MsrParagraph"/>
        <w:spacing w:line="276" w:lineRule="auto"/>
        <w:ind w:firstLine="0"/>
        <w:rPr>
          <w:sz w:val="20"/>
          <w:szCs w:val="20"/>
          <w:lang w:val="en-GB"/>
        </w:rPr>
      </w:pPr>
      <w:r w:rsidRPr="00EA2734">
        <w:rPr>
          <w:sz w:val="20"/>
          <w:szCs w:val="20"/>
          <w:lang w:val="en-GB"/>
        </w:rPr>
        <w:t xml:space="preserve">To the best of the Company’s knowledge, the following shareholders hold directly at least 5 % of the overall number of votes at the General Meeting of </w:t>
      </w:r>
      <w:proofErr w:type="spellStart"/>
      <w:r w:rsidRPr="00EA2734">
        <w:rPr>
          <w:sz w:val="20"/>
          <w:szCs w:val="20"/>
          <w:lang w:val="en-GB"/>
        </w:rPr>
        <w:t>OPTeam</w:t>
      </w:r>
      <w:proofErr w:type="spellEnd"/>
      <w:r w:rsidRPr="00EA2734">
        <w:rPr>
          <w:sz w:val="20"/>
          <w:szCs w:val="20"/>
          <w:lang w:val="en-GB"/>
        </w:rPr>
        <w:t xml:space="preserve"> S.A. as of the publication date of the semi-annual report:</w:t>
      </w:r>
    </w:p>
    <w:p w14:paraId="7D5340FC" w14:textId="77777777" w:rsidR="003161A8" w:rsidRPr="00EA2734" w:rsidRDefault="003161A8" w:rsidP="0041068C">
      <w:pPr>
        <w:widowControl w:val="0"/>
        <w:autoSpaceDE w:val="0"/>
        <w:autoSpaceDN w:val="0"/>
        <w:adjustRightInd w:val="0"/>
        <w:spacing w:after="120" w:line="360" w:lineRule="auto"/>
        <w:jc w:val="both"/>
        <w:rPr>
          <w:rFonts w:ascii="Arial Narrow" w:hAnsi="Arial Narrow" w:cs="Arial"/>
          <w:sz w:val="22"/>
          <w:szCs w:val="22"/>
          <w:lang w:val="en-GB"/>
        </w:rPr>
      </w:pPr>
    </w:p>
    <w:tbl>
      <w:tblPr>
        <w:tblW w:w="9067"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70" w:type="dxa"/>
          <w:right w:w="70" w:type="dxa"/>
        </w:tblCellMar>
        <w:tblLook w:val="0000" w:firstRow="0" w:lastRow="0" w:firstColumn="0" w:lastColumn="0" w:noHBand="0" w:noVBand="0"/>
      </w:tblPr>
      <w:tblGrid>
        <w:gridCol w:w="3219"/>
        <w:gridCol w:w="3013"/>
        <w:gridCol w:w="2835"/>
      </w:tblGrid>
      <w:tr w:rsidR="003161A8" w:rsidRPr="00EA2734" w14:paraId="7355C27A" w14:textId="77777777" w:rsidTr="003161A8">
        <w:trPr>
          <w:trHeight w:val="978"/>
          <w:jc w:val="center"/>
        </w:trPr>
        <w:tc>
          <w:tcPr>
            <w:tcW w:w="3219" w:type="dxa"/>
            <w:shd w:val="pct10" w:color="auto" w:fill="auto"/>
            <w:tcMar>
              <w:left w:w="200" w:type="dxa"/>
            </w:tcMar>
            <w:vAlign w:val="center"/>
          </w:tcPr>
          <w:p w14:paraId="7DF10552" w14:textId="47F9AEFE" w:rsidR="003161A8" w:rsidRPr="00EA2734" w:rsidRDefault="00EE3BFD" w:rsidP="00EC0A79">
            <w:pPr>
              <w:autoSpaceDE w:val="0"/>
              <w:autoSpaceDN w:val="0"/>
              <w:adjustRightInd w:val="0"/>
              <w:spacing w:after="120" w:line="360" w:lineRule="auto"/>
              <w:jc w:val="center"/>
              <w:rPr>
                <w:rFonts w:ascii="Arial Narrow" w:eastAsia="Calibri" w:hAnsi="Arial Narrow"/>
                <w:b/>
                <w:sz w:val="20"/>
                <w:szCs w:val="20"/>
                <w:lang w:val="en-GB"/>
              </w:rPr>
            </w:pPr>
            <w:r w:rsidRPr="00EA2734">
              <w:rPr>
                <w:rFonts w:ascii="Arial Narrow" w:eastAsia="Calibri" w:hAnsi="Arial Narrow"/>
                <w:b/>
                <w:sz w:val="20"/>
                <w:szCs w:val="20"/>
                <w:lang w:val="en-GB"/>
              </w:rPr>
              <w:t>Shareholder</w:t>
            </w:r>
          </w:p>
        </w:tc>
        <w:tc>
          <w:tcPr>
            <w:tcW w:w="3013" w:type="dxa"/>
            <w:shd w:val="pct10" w:color="auto" w:fill="auto"/>
            <w:vAlign w:val="center"/>
          </w:tcPr>
          <w:p w14:paraId="22660BB5" w14:textId="35530FA4" w:rsidR="003161A8" w:rsidRPr="00EA2734" w:rsidRDefault="00EE3BFD" w:rsidP="00EC0A79">
            <w:pPr>
              <w:autoSpaceDE w:val="0"/>
              <w:autoSpaceDN w:val="0"/>
              <w:adjustRightInd w:val="0"/>
              <w:spacing w:after="120" w:line="360" w:lineRule="auto"/>
              <w:jc w:val="center"/>
              <w:rPr>
                <w:rFonts w:ascii="Arial Narrow" w:eastAsia="Calibri" w:hAnsi="Arial Narrow"/>
                <w:b/>
                <w:sz w:val="20"/>
                <w:szCs w:val="20"/>
                <w:lang w:val="en-GB"/>
              </w:rPr>
            </w:pPr>
            <w:r w:rsidRPr="00EA2734">
              <w:rPr>
                <w:rFonts w:ascii="Arial Narrow" w:eastAsia="Calibri" w:hAnsi="Arial Narrow"/>
                <w:b/>
                <w:sz w:val="20"/>
                <w:szCs w:val="20"/>
                <w:lang w:val="en-GB"/>
              </w:rPr>
              <w:t>Number of shares and votes at the GMS</w:t>
            </w:r>
          </w:p>
        </w:tc>
        <w:tc>
          <w:tcPr>
            <w:tcW w:w="2835" w:type="dxa"/>
            <w:shd w:val="pct10" w:color="auto" w:fill="auto"/>
            <w:vAlign w:val="center"/>
          </w:tcPr>
          <w:p w14:paraId="3FDBEE67" w14:textId="644D5BA6" w:rsidR="003161A8" w:rsidRPr="00EA2734" w:rsidRDefault="003161A8" w:rsidP="00EE3BFD">
            <w:pPr>
              <w:autoSpaceDE w:val="0"/>
              <w:autoSpaceDN w:val="0"/>
              <w:adjustRightInd w:val="0"/>
              <w:spacing w:after="120" w:line="360" w:lineRule="auto"/>
              <w:jc w:val="both"/>
              <w:rPr>
                <w:rFonts w:ascii="Arial Narrow" w:eastAsia="Calibri" w:hAnsi="Arial Narrow"/>
                <w:b/>
                <w:sz w:val="20"/>
                <w:szCs w:val="20"/>
                <w:lang w:val="en-GB"/>
              </w:rPr>
            </w:pPr>
            <w:r w:rsidRPr="00EA2734">
              <w:rPr>
                <w:rFonts w:ascii="Arial Narrow" w:eastAsia="Calibri" w:hAnsi="Arial Narrow"/>
                <w:b/>
                <w:sz w:val="20"/>
                <w:szCs w:val="20"/>
                <w:lang w:val="en-GB"/>
              </w:rPr>
              <w:t xml:space="preserve">% </w:t>
            </w:r>
            <w:r w:rsidR="00EE3BFD" w:rsidRPr="00EA2734">
              <w:rPr>
                <w:rFonts w:ascii="Arial Narrow" w:eastAsia="Calibri" w:hAnsi="Arial Narrow"/>
                <w:b/>
                <w:sz w:val="20"/>
                <w:szCs w:val="20"/>
                <w:lang w:val="en-GB"/>
              </w:rPr>
              <w:t>share in authorised capital and overall number of votes at the GMS</w:t>
            </w:r>
          </w:p>
        </w:tc>
      </w:tr>
      <w:tr w:rsidR="003161A8" w:rsidRPr="00EA2734" w14:paraId="0DD39857" w14:textId="77777777" w:rsidTr="00EC0A79">
        <w:trPr>
          <w:trHeight w:hRule="exact" w:val="454"/>
          <w:jc w:val="center"/>
        </w:trPr>
        <w:tc>
          <w:tcPr>
            <w:tcW w:w="3219" w:type="dxa"/>
            <w:tcMar>
              <w:left w:w="200" w:type="dxa"/>
            </w:tcMar>
          </w:tcPr>
          <w:p w14:paraId="3C12B317" w14:textId="77777777" w:rsidR="003161A8" w:rsidRPr="00EA2734" w:rsidRDefault="003161A8" w:rsidP="00EC0A79">
            <w:pPr>
              <w:autoSpaceDE w:val="0"/>
              <w:autoSpaceDN w:val="0"/>
              <w:adjustRightInd w:val="0"/>
              <w:spacing w:after="120" w:line="360" w:lineRule="auto"/>
              <w:rPr>
                <w:rFonts w:ascii="Arial Narrow" w:eastAsia="Calibri" w:hAnsi="Arial Narrow"/>
                <w:sz w:val="20"/>
                <w:szCs w:val="20"/>
                <w:lang w:val="en-GB"/>
              </w:rPr>
            </w:pPr>
            <w:proofErr w:type="spellStart"/>
            <w:r w:rsidRPr="00EA2734">
              <w:rPr>
                <w:rFonts w:ascii="Arial Narrow" w:eastAsia="Calibri" w:hAnsi="Arial Narrow"/>
                <w:sz w:val="20"/>
                <w:szCs w:val="20"/>
                <w:lang w:val="en-GB"/>
              </w:rPr>
              <w:t>Janusz</w:t>
            </w:r>
            <w:proofErr w:type="spellEnd"/>
            <w:r w:rsidRPr="00EA2734">
              <w:rPr>
                <w:rFonts w:ascii="Arial Narrow" w:eastAsia="Calibri" w:hAnsi="Arial Narrow"/>
                <w:sz w:val="20"/>
                <w:szCs w:val="20"/>
                <w:lang w:val="en-GB"/>
              </w:rPr>
              <w:t xml:space="preserve"> </w:t>
            </w:r>
            <w:proofErr w:type="spellStart"/>
            <w:r w:rsidRPr="00EA2734">
              <w:rPr>
                <w:rFonts w:ascii="Arial Narrow" w:eastAsia="Calibri" w:hAnsi="Arial Narrow"/>
                <w:sz w:val="20"/>
                <w:szCs w:val="20"/>
                <w:lang w:val="en-GB"/>
              </w:rPr>
              <w:t>Bober</w:t>
            </w:r>
            <w:proofErr w:type="spellEnd"/>
          </w:p>
        </w:tc>
        <w:tc>
          <w:tcPr>
            <w:tcW w:w="3013" w:type="dxa"/>
            <w:vAlign w:val="center"/>
          </w:tcPr>
          <w:p w14:paraId="346D3B12" w14:textId="77777777" w:rsidR="003161A8" w:rsidRPr="00EA2734" w:rsidRDefault="003161A8" w:rsidP="00EC0A79">
            <w:pPr>
              <w:autoSpaceDE w:val="0"/>
              <w:autoSpaceDN w:val="0"/>
              <w:adjustRightInd w:val="0"/>
              <w:spacing w:after="120" w:line="360" w:lineRule="auto"/>
              <w:jc w:val="center"/>
              <w:rPr>
                <w:rFonts w:ascii="Arial Narrow" w:eastAsia="Calibri" w:hAnsi="Arial Narrow"/>
                <w:sz w:val="20"/>
                <w:szCs w:val="20"/>
                <w:lang w:val="en-GB"/>
              </w:rPr>
            </w:pPr>
            <w:r w:rsidRPr="00EA2734">
              <w:rPr>
                <w:rFonts w:ascii="Arial Narrow" w:eastAsia="Calibri" w:hAnsi="Arial Narrow"/>
                <w:sz w:val="20"/>
                <w:szCs w:val="20"/>
                <w:lang w:val="en-GB"/>
              </w:rPr>
              <w:t>1 372 523</w:t>
            </w:r>
          </w:p>
        </w:tc>
        <w:tc>
          <w:tcPr>
            <w:tcW w:w="2835" w:type="dxa"/>
            <w:vAlign w:val="center"/>
          </w:tcPr>
          <w:p w14:paraId="5D7FE07A" w14:textId="1A7AAAA2" w:rsidR="003161A8" w:rsidRPr="00EA2734" w:rsidRDefault="003161A8" w:rsidP="00EC0A79">
            <w:pPr>
              <w:autoSpaceDE w:val="0"/>
              <w:autoSpaceDN w:val="0"/>
              <w:adjustRightInd w:val="0"/>
              <w:spacing w:after="120" w:line="360" w:lineRule="auto"/>
              <w:jc w:val="center"/>
              <w:rPr>
                <w:rFonts w:ascii="Arial Narrow" w:eastAsia="Calibri" w:hAnsi="Arial Narrow"/>
                <w:sz w:val="20"/>
                <w:szCs w:val="20"/>
                <w:lang w:val="en-GB"/>
              </w:rPr>
            </w:pPr>
            <w:r w:rsidRPr="00EA2734">
              <w:rPr>
                <w:rFonts w:ascii="Arial Narrow" w:eastAsia="Calibri" w:hAnsi="Arial Narrow"/>
                <w:sz w:val="20"/>
                <w:szCs w:val="20"/>
                <w:lang w:val="en-GB"/>
              </w:rPr>
              <w:t>18</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80 %</w:t>
            </w:r>
          </w:p>
        </w:tc>
      </w:tr>
      <w:tr w:rsidR="003161A8" w:rsidRPr="00EA2734" w14:paraId="5EF91664" w14:textId="77777777" w:rsidTr="00EC0A79">
        <w:trPr>
          <w:trHeight w:hRule="exact" w:val="454"/>
          <w:jc w:val="center"/>
        </w:trPr>
        <w:tc>
          <w:tcPr>
            <w:tcW w:w="3219" w:type="dxa"/>
            <w:tcMar>
              <w:left w:w="200" w:type="dxa"/>
            </w:tcMar>
          </w:tcPr>
          <w:p w14:paraId="09880A4A" w14:textId="77777777" w:rsidR="003161A8" w:rsidRPr="00EA2734" w:rsidRDefault="003161A8" w:rsidP="00EC0A79">
            <w:pPr>
              <w:autoSpaceDE w:val="0"/>
              <w:autoSpaceDN w:val="0"/>
              <w:adjustRightInd w:val="0"/>
              <w:spacing w:after="120" w:line="360" w:lineRule="auto"/>
              <w:rPr>
                <w:rFonts w:ascii="Arial Narrow" w:eastAsia="Calibri" w:hAnsi="Arial Narrow"/>
                <w:sz w:val="20"/>
                <w:szCs w:val="20"/>
                <w:lang w:val="en-GB"/>
              </w:rPr>
            </w:pPr>
            <w:r w:rsidRPr="00EA2734">
              <w:rPr>
                <w:rFonts w:ascii="Arial Narrow" w:eastAsia="Calibri" w:hAnsi="Arial Narrow"/>
                <w:sz w:val="20"/>
                <w:szCs w:val="20"/>
                <w:lang w:val="en-GB"/>
              </w:rPr>
              <w:t xml:space="preserve">Andrzej </w:t>
            </w:r>
            <w:proofErr w:type="spellStart"/>
            <w:r w:rsidRPr="00EA2734">
              <w:rPr>
                <w:rFonts w:ascii="Arial Narrow" w:eastAsia="Calibri" w:hAnsi="Arial Narrow"/>
                <w:sz w:val="20"/>
                <w:szCs w:val="20"/>
                <w:lang w:val="en-GB"/>
              </w:rPr>
              <w:t>Pelczar</w:t>
            </w:r>
            <w:proofErr w:type="spellEnd"/>
          </w:p>
        </w:tc>
        <w:tc>
          <w:tcPr>
            <w:tcW w:w="3013" w:type="dxa"/>
            <w:vAlign w:val="center"/>
          </w:tcPr>
          <w:p w14:paraId="42FF73B4" w14:textId="77777777" w:rsidR="003161A8" w:rsidRPr="00EA2734" w:rsidRDefault="003161A8" w:rsidP="00EC0A79">
            <w:pPr>
              <w:autoSpaceDE w:val="0"/>
              <w:autoSpaceDN w:val="0"/>
              <w:adjustRightInd w:val="0"/>
              <w:spacing w:after="120" w:line="360" w:lineRule="auto"/>
              <w:jc w:val="center"/>
              <w:rPr>
                <w:rFonts w:ascii="Arial Narrow" w:eastAsia="Calibri" w:hAnsi="Arial Narrow"/>
                <w:sz w:val="20"/>
                <w:szCs w:val="20"/>
                <w:lang w:val="en-GB"/>
              </w:rPr>
            </w:pPr>
            <w:r w:rsidRPr="00EA2734">
              <w:rPr>
                <w:rFonts w:ascii="Arial Narrow" w:eastAsia="Calibri" w:hAnsi="Arial Narrow"/>
                <w:sz w:val="20"/>
                <w:szCs w:val="20"/>
                <w:lang w:val="en-GB"/>
              </w:rPr>
              <w:t>1 372 523</w:t>
            </w:r>
          </w:p>
        </w:tc>
        <w:tc>
          <w:tcPr>
            <w:tcW w:w="2835" w:type="dxa"/>
            <w:vAlign w:val="center"/>
          </w:tcPr>
          <w:p w14:paraId="5D068A6B" w14:textId="270516B4" w:rsidR="003161A8" w:rsidRPr="00EA2734" w:rsidRDefault="003161A8" w:rsidP="00EC0A79">
            <w:pPr>
              <w:autoSpaceDE w:val="0"/>
              <w:autoSpaceDN w:val="0"/>
              <w:adjustRightInd w:val="0"/>
              <w:spacing w:after="120" w:line="360" w:lineRule="auto"/>
              <w:jc w:val="center"/>
              <w:rPr>
                <w:rFonts w:ascii="Arial Narrow" w:eastAsia="Calibri" w:hAnsi="Arial Narrow"/>
                <w:sz w:val="20"/>
                <w:szCs w:val="20"/>
                <w:lang w:val="en-GB"/>
              </w:rPr>
            </w:pPr>
            <w:r w:rsidRPr="00EA2734">
              <w:rPr>
                <w:rFonts w:ascii="Arial Narrow" w:eastAsia="Calibri" w:hAnsi="Arial Narrow"/>
                <w:sz w:val="20"/>
                <w:szCs w:val="20"/>
                <w:lang w:val="en-GB"/>
              </w:rPr>
              <w:t>18</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80 %</w:t>
            </w:r>
          </w:p>
        </w:tc>
      </w:tr>
      <w:tr w:rsidR="003161A8" w:rsidRPr="00EA2734" w14:paraId="788CEC5D" w14:textId="77777777" w:rsidTr="00EC0A79">
        <w:trPr>
          <w:trHeight w:hRule="exact" w:val="454"/>
          <w:jc w:val="center"/>
        </w:trPr>
        <w:tc>
          <w:tcPr>
            <w:tcW w:w="3219" w:type="dxa"/>
            <w:tcMar>
              <w:left w:w="200" w:type="dxa"/>
            </w:tcMar>
          </w:tcPr>
          <w:p w14:paraId="14DCED45" w14:textId="77777777" w:rsidR="003161A8" w:rsidRPr="00EA2734" w:rsidRDefault="003161A8" w:rsidP="00EC0A79">
            <w:pPr>
              <w:autoSpaceDE w:val="0"/>
              <w:autoSpaceDN w:val="0"/>
              <w:adjustRightInd w:val="0"/>
              <w:spacing w:after="120" w:line="360" w:lineRule="auto"/>
              <w:rPr>
                <w:rFonts w:ascii="Arial Narrow" w:eastAsia="Calibri" w:hAnsi="Arial Narrow"/>
                <w:sz w:val="20"/>
                <w:szCs w:val="20"/>
                <w:lang w:val="en-GB"/>
              </w:rPr>
            </w:pPr>
            <w:proofErr w:type="spellStart"/>
            <w:r w:rsidRPr="00EA2734">
              <w:rPr>
                <w:rFonts w:ascii="Arial Narrow" w:eastAsia="Calibri" w:hAnsi="Arial Narrow"/>
                <w:sz w:val="20"/>
                <w:szCs w:val="20"/>
                <w:lang w:val="en-GB"/>
              </w:rPr>
              <w:t>Ryszard</w:t>
            </w:r>
            <w:proofErr w:type="spellEnd"/>
            <w:r w:rsidRPr="00EA2734">
              <w:rPr>
                <w:rFonts w:ascii="Arial Narrow" w:eastAsia="Calibri" w:hAnsi="Arial Narrow"/>
                <w:sz w:val="20"/>
                <w:szCs w:val="20"/>
                <w:lang w:val="en-GB"/>
              </w:rPr>
              <w:t xml:space="preserve"> </w:t>
            </w:r>
            <w:proofErr w:type="spellStart"/>
            <w:r w:rsidRPr="00EA2734">
              <w:rPr>
                <w:rFonts w:ascii="Arial Narrow" w:eastAsia="Calibri" w:hAnsi="Arial Narrow"/>
                <w:sz w:val="20"/>
                <w:szCs w:val="20"/>
                <w:lang w:val="en-GB"/>
              </w:rPr>
              <w:t>Woźniak</w:t>
            </w:r>
            <w:proofErr w:type="spellEnd"/>
          </w:p>
        </w:tc>
        <w:tc>
          <w:tcPr>
            <w:tcW w:w="3013" w:type="dxa"/>
            <w:vAlign w:val="center"/>
          </w:tcPr>
          <w:p w14:paraId="7A873BF7" w14:textId="77777777" w:rsidR="003161A8" w:rsidRPr="00EA2734" w:rsidRDefault="003161A8" w:rsidP="00EC0A79">
            <w:pPr>
              <w:autoSpaceDE w:val="0"/>
              <w:autoSpaceDN w:val="0"/>
              <w:adjustRightInd w:val="0"/>
              <w:spacing w:after="120" w:line="360" w:lineRule="auto"/>
              <w:jc w:val="center"/>
              <w:rPr>
                <w:rFonts w:ascii="Arial Narrow" w:eastAsia="Calibri" w:hAnsi="Arial Narrow"/>
                <w:sz w:val="20"/>
                <w:szCs w:val="20"/>
                <w:lang w:val="en-GB"/>
              </w:rPr>
            </w:pPr>
            <w:r w:rsidRPr="00EA2734">
              <w:rPr>
                <w:rFonts w:ascii="Arial Narrow" w:eastAsia="Calibri" w:hAnsi="Arial Narrow"/>
                <w:sz w:val="20"/>
                <w:szCs w:val="20"/>
                <w:lang w:val="en-GB"/>
              </w:rPr>
              <w:t>1 378 512</w:t>
            </w:r>
          </w:p>
        </w:tc>
        <w:tc>
          <w:tcPr>
            <w:tcW w:w="2835" w:type="dxa"/>
            <w:vAlign w:val="center"/>
          </w:tcPr>
          <w:p w14:paraId="31147302" w14:textId="2D3BB737" w:rsidR="003161A8" w:rsidRPr="00EA2734" w:rsidRDefault="003161A8" w:rsidP="00EC0A79">
            <w:pPr>
              <w:autoSpaceDE w:val="0"/>
              <w:autoSpaceDN w:val="0"/>
              <w:adjustRightInd w:val="0"/>
              <w:spacing w:after="120" w:line="360" w:lineRule="auto"/>
              <w:jc w:val="center"/>
              <w:rPr>
                <w:rFonts w:ascii="Arial Narrow" w:eastAsia="Calibri" w:hAnsi="Arial Narrow"/>
                <w:sz w:val="20"/>
                <w:szCs w:val="20"/>
                <w:lang w:val="en-GB"/>
              </w:rPr>
            </w:pPr>
            <w:r w:rsidRPr="00EA2734">
              <w:rPr>
                <w:rFonts w:ascii="Arial Narrow" w:eastAsia="Calibri" w:hAnsi="Arial Narrow"/>
                <w:sz w:val="20"/>
                <w:szCs w:val="20"/>
                <w:lang w:val="en-GB"/>
              </w:rPr>
              <w:t>18</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88 %</w:t>
            </w:r>
          </w:p>
        </w:tc>
      </w:tr>
      <w:tr w:rsidR="003161A8" w:rsidRPr="00EA2734" w14:paraId="4416F6F4" w14:textId="77777777" w:rsidTr="00EC0A79">
        <w:trPr>
          <w:trHeight w:hRule="exact" w:val="454"/>
          <w:jc w:val="center"/>
        </w:trPr>
        <w:tc>
          <w:tcPr>
            <w:tcW w:w="3219" w:type="dxa"/>
            <w:tcMar>
              <w:left w:w="200" w:type="dxa"/>
            </w:tcMar>
          </w:tcPr>
          <w:p w14:paraId="5154A76B" w14:textId="77777777" w:rsidR="003161A8" w:rsidRPr="00EA2734" w:rsidRDefault="003161A8" w:rsidP="00EC0A79">
            <w:pPr>
              <w:autoSpaceDE w:val="0"/>
              <w:autoSpaceDN w:val="0"/>
              <w:adjustRightInd w:val="0"/>
              <w:spacing w:after="120" w:line="360" w:lineRule="auto"/>
              <w:rPr>
                <w:rFonts w:ascii="Arial Narrow" w:eastAsia="Calibri" w:hAnsi="Arial Narrow"/>
                <w:sz w:val="20"/>
                <w:szCs w:val="20"/>
                <w:lang w:val="en-GB"/>
              </w:rPr>
            </w:pPr>
            <w:proofErr w:type="spellStart"/>
            <w:r w:rsidRPr="00EA2734">
              <w:rPr>
                <w:rFonts w:ascii="Arial Narrow" w:eastAsia="Calibri" w:hAnsi="Arial Narrow"/>
                <w:sz w:val="20"/>
                <w:szCs w:val="20"/>
                <w:lang w:val="en-GB"/>
              </w:rPr>
              <w:t>Wacław</w:t>
            </w:r>
            <w:proofErr w:type="spellEnd"/>
            <w:r w:rsidRPr="00EA2734">
              <w:rPr>
                <w:rFonts w:ascii="Arial Narrow" w:eastAsia="Calibri" w:hAnsi="Arial Narrow"/>
                <w:sz w:val="20"/>
                <w:szCs w:val="20"/>
                <w:lang w:val="en-GB"/>
              </w:rPr>
              <w:t xml:space="preserve"> </w:t>
            </w:r>
            <w:proofErr w:type="spellStart"/>
            <w:r w:rsidRPr="00EA2734">
              <w:rPr>
                <w:rFonts w:ascii="Arial Narrow" w:eastAsia="Calibri" w:hAnsi="Arial Narrow"/>
                <w:sz w:val="20"/>
                <w:szCs w:val="20"/>
                <w:lang w:val="en-GB"/>
              </w:rPr>
              <w:t>Irzeński</w:t>
            </w:r>
            <w:proofErr w:type="spellEnd"/>
          </w:p>
        </w:tc>
        <w:tc>
          <w:tcPr>
            <w:tcW w:w="3013" w:type="dxa"/>
            <w:vAlign w:val="center"/>
          </w:tcPr>
          <w:p w14:paraId="37A7829F" w14:textId="77777777" w:rsidR="003161A8" w:rsidRPr="00EA2734" w:rsidRDefault="003161A8" w:rsidP="00EC0A79">
            <w:pPr>
              <w:autoSpaceDE w:val="0"/>
              <w:autoSpaceDN w:val="0"/>
              <w:adjustRightInd w:val="0"/>
              <w:spacing w:after="120" w:line="360" w:lineRule="auto"/>
              <w:jc w:val="center"/>
              <w:rPr>
                <w:rFonts w:ascii="Arial Narrow" w:eastAsia="Calibri" w:hAnsi="Arial Narrow"/>
                <w:sz w:val="20"/>
                <w:szCs w:val="20"/>
                <w:lang w:val="en-GB"/>
              </w:rPr>
            </w:pPr>
            <w:r w:rsidRPr="00EA2734">
              <w:rPr>
                <w:rFonts w:ascii="Arial Narrow" w:eastAsia="Calibri" w:hAnsi="Arial Narrow"/>
                <w:sz w:val="20"/>
                <w:szCs w:val="20"/>
                <w:lang w:val="en-GB"/>
              </w:rPr>
              <w:t>1 372 523</w:t>
            </w:r>
          </w:p>
        </w:tc>
        <w:tc>
          <w:tcPr>
            <w:tcW w:w="2835" w:type="dxa"/>
            <w:vAlign w:val="center"/>
          </w:tcPr>
          <w:p w14:paraId="304AE3EE" w14:textId="334C35D8" w:rsidR="003161A8" w:rsidRPr="00EA2734" w:rsidRDefault="003161A8" w:rsidP="00EC0A79">
            <w:pPr>
              <w:autoSpaceDE w:val="0"/>
              <w:autoSpaceDN w:val="0"/>
              <w:adjustRightInd w:val="0"/>
              <w:spacing w:after="120" w:line="360" w:lineRule="auto"/>
              <w:jc w:val="center"/>
              <w:rPr>
                <w:rFonts w:ascii="Arial Narrow" w:eastAsia="Calibri" w:hAnsi="Arial Narrow"/>
                <w:sz w:val="20"/>
                <w:szCs w:val="20"/>
                <w:lang w:val="en-GB"/>
              </w:rPr>
            </w:pPr>
            <w:r w:rsidRPr="00EA2734">
              <w:rPr>
                <w:rFonts w:ascii="Arial Narrow" w:eastAsia="Calibri" w:hAnsi="Arial Narrow"/>
                <w:sz w:val="20"/>
                <w:szCs w:val="20"/>
                <w:lang w:val="en-GB"/>
              </w:rPr>
              <w:t>18</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80 %</w:t>
            </w:r>
          </w:p>
        </w:tc>
      </w:tr>
      <w:tr w:rsidR="003161A8" w:rsidRPr="00EA2734" w14:paraId="3DE2A829" w14:textId="77777777" w:rsidTr="00EC0A79">
        <w:trPr>
          <w:trHeight w:hRule="exact" w:val="454"/>
          <w:jc w:val="center"/>
        </w:trPr>
        <w:tc>
          <w:tcPr>
            <w:tcW w:w="3219" w:type="dxa"/>
            <w:tcMar>
              <w:left w:w="200" w:type="dxa"/>
            </w:tcMar>
          </w:tcPr>
          <w:p w14:paraId="400CD225" w14:textId="77777777" w:rsidR="003161A8" w:rsidRPr="00EA2734" w:rsidRDefault="003161A8" w:rsidP="00EC0A79">
            <w:pPr>
              <w:autoSpaceDE w:val="0"/>
              <w:autoSpaceDN w:val="0"/>
              <w:adjustRightInd w:val="0"/>
              <w:spacing w:after="120" w:line="360" w:lineRule="auto"/>
              <w:rPr>
                <w:rFonts w:ascii="Arial Narrow" w:eastAsia="Calibri" w:hAnsi="Arial Narrow"/>
                <w:sz w:val="20"/>
                <w:szCs w:val="20"/>
                <w:lang w:val="en-GB"/>
              </w:rPr>
            </w:pPr>
            <w:proofErr w:type="spellStart"/>
            <w:r w:rsidRPr="00EA2734">
              <w:rPr>
                <w:rFonts w:ascii="Arial Narrow" w:eastAsia="Calibri" w:hAnsi="Arial Narrow"/>
                <w:sz w:val="20"/>
                <w:szCs w:val="20"/>
                <w:lang w:val="en-GB"/>
              </w:rPr>
              <w:t>Wacław</w:t>
            </w:r>
            <w:proofErr w:type="spellEnd"/>
            <w:r w:rsidRPr="00EA2734">
              <w:rPr>
                <w:rFonts w:ascii="Arial Narrow" w:eastAsia="Calibri" w:hAnsi="Arial Narrow"/>
                <w:sz w:val="20"/>
                <w:szCs w:val="20"/>
                <w:lang w:val="en-GB"/>
              </w:rPr>
              <w:t xml:space="preserve"> </w:t>
            </w:r>
            <w:proofErr w:type="spellStart"/>
            <w:r w:rsidRPr="00EA2734">
              <w:rPr>
                <w:rFonts w:ascii="Arial Narrow" w:eastAsia="Calibri" w:hAnsi="Arial Narrow"/>
                <w:sz w:val="20"/>
                <w:szCs w:val="20"/>
                <w:lang w:val="en-GB"/>
              </w:rPr>
              <w:t>Szary</w:t>
            </w:r>
            <w:proofErr w:type="spellEnd"/>
          </w:p>
        </w:tc>
        <w:tc>
          <w:tcPr>
            <w:tcW w:w="3013" w:type="dxa"/>
            <w:vAlign w:val="center"/>
          </w:tcPr>
          <w:p w14:paraId="46E6B7AC" w14:textId="77777777" w:rsidR="003161A8" w:rsidRPr="00EA2734" w:rsidRDefault="003161A8" w:rsidP="00EC0A79">
            <w:pPr>
              <w:autoSpaceDE w:val="0"/>
              <w:autoSpaceDN w:val="0"/>
              <w:adjustRightInd w:val="0"/>
              <w:spacing w:after="120" w:line="360" w:lineRule="auto"/>
              <w:jc w:val="center"/>
              <w:rPr>
                <w:rFonts w:ascii="Arial Narrow" w:eastAsia="Calibri" w:hAnsi="Arial Narrow"/>
                <w:sz w:val="20"/>
                <w:szCs w:val="20"/>
                <w:lang w:val="en-GB"/>
              </w:rPr>
            </w:pPr>
            <w:r w:rsidRPr="00EA2734">
              <w:rPr>
                <w:rFonts w:ascii="Arial Narrow" w:eastAsia="Calibri" w:hAnsi="Arial Narrow"/>
                <w:sz w:val="20"/>
                <w:szCs w:val="20"/>
                <w:lang w:val="en-GB"/>
              </w:rPr>
              <w:t>40</w:t>
            </w:r>
            <w:r w:rsidR="002B27C6" w:rsidRPr="00EA2734">
              <w:rPr>
                <w:rFonts w:ascii="Arial Narrow" w:eastAsia="Calibri" w:hAnsi="Arial Narrow"/>
                <w:sz w:val="20"/>
                <w:szCs w:val="20"/>
                <w:lang w:val="en-GB"/>
              </w:rPr>
              <w:t>7</w:t>
            </w:r>
            <w:r w:rsidRPr="00EA2734">
              <w:rPr>
                <w:rFonts w:ascii="Arial Narrow" w:eastAsia="Calibri" w:hAnsi="Arial Narrow"/>
                <w:sz w:val="20"/>
                <w:szCs w:val="20"/>
                <w:lang w:val="en-GB"/>
              </w:rPr>
              <w:t xml:space="preserve"> </w:t>
            </w:r>
            <w:r w:rsidR="002B27C6" w:rsidRPr="00EA2734">
              <w:rPr>
                <w:rFonts w:ascii="Arial Narrow" w:eastAsia="Calibri" w:hAnsi="Arial Narrow"/>
                <w:sz w:val="20"/>
                <w:szCs w:val="20"/>
                <w:lang w:val="en-GB"/>
              </w:rPr>
              <w:t>899</w:t>
            </w:r>
          </w:p>
        </w:tc>
        <w:tc>
          <w:tcPr>
            <w:tcW w:w="2835" w:type="dxa"/>
            <w:vAlign w:val="center"/>
          </w:tcPr>
          <w:p w14:paraId="1C212059" w14:textId="46901494" w:rsidR="003161A8" w:rsidRPr="00EA2734" w:rsidRDefault="003161A8" w:rsidP="00EC0A79">
            <w:pPr>
              <w:autoSpaceDE w:val="0"/>
              <w:autoSpaceDN w:val="0"/>
              <w:adjustRightInd w:val="0"/>
              <w:spacing w:after="120" w:line="360" w:lineRule="auto"/>
              <w:jc w:val="center"/>
              <w:rPr>
                <w:rFonts w:ascii="Arial Narrow" w:eastAsia="Calibri" w:hAnsi="Arial Narrow"/>
                <w:sz w:val="20"/>
                <w:szCs w:val="20"/>
                <w:lang w:val="en-GB"/>
              </w:rPr>
            </w:pPr>
            <w:r w:rsidRPr="00EA2734">
              <w:rPr>
                <w:rFonts w:ascii="Arial Narrow" w:eastAsia="Calibri" w:hAnsi="Arial Narrow"/>
                <w:sz w:val="20"/>
                <w:szCs w:val="20"/>
                <w:lang w:val="en-GB"/>
              </w:rPr>
              <w:t>5</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5</w:t>
            </w:r>
            <w:r w:rsidR="002B27C6" w:rsidRPr="00EA2734">
              <w:rPr>
                <w:rFonts w:ascii="Arial Narrow" w:eastAsia="Calibri" w:hAnsi="Arial Narrow"/>
                <w:sz w:val="20"/>
                <w:szCs w:val="20"/>
                <w:lang w:val="en-GB"/>
              </w:rPr>
              <w:t>9</w:t>
            </w:r>
            <w:r w:rsidRPr="00EA2734">
              <w:rPr>
                <w:rFonts w:ascii="Arial Narrow" w:eastAsia="Calibri" w:hAnsi="Arial Narrow"/>
                <w:sz w:val="20"/>
                <w:szCs w:val="20"/>
                <w:lang w:val="en-GB"/>
              </w:rPr>
              <w:t xml:space="preserve"> %</w:t>
            </w:r>
          </w:p>
        </w:tc>
      </w:tr>
    </w:tbl>
    <w:p w14:paraId="3B59FEB8" w14:textId="77777777" w:rsidR="00A35F9F" w:rsidRPr="00EA2734" w:rsidRDefault="00A35F9F" w:rsidP="003161A8">
      <w:pPr>
        <w:spacing w:after="120" w:line="276" w:lineRule="auto"/>
        <w:jc w:val="both"/>
        <w:rPr>
          <w:rFonts w:ascii="Arial Narrow" w:hAnsi="Arial Narrow" w:cs="Arial"/>
          <w:sz w:val="22"/>
          <w:szCs w:val="22"/>
          <w:lang w:val="en-GB"/>
        </w:rPr>
      </w:pPr>
    </w:p>
    <w:p w14:paraId="79B05586" w14:textId="5BA6A507" w:rsidR="002B27C6" w:rsidRPr="00EA2734" w:rsidRDefault="00EE3BFD" w:rsidP="00373E92">
      <w:pPr>
        <w:pStyle w:val="MsrParagraph"/>
        <w:spacing w:line="276" w:lineRule="auto"/>
        <w:ind w:firstLine="0"/>
        <w:rPr>
          <w:sz w:val="20"/>
          <w:szCs w:val="20"/>
          <w:lang w:val="en-GB"/>
        </w:rPr>
      </w:pPr>
      <w:r w:rsidRPr="00EA2734">
        <w:rPr>
          <w:sz w:val="20"/>
          <w:szCs w:val="20"/>
          <w:lang w:val="en-GB"/>
        </w:rPr>
        <w:t>The Issuer has no subsidiaries, thus share in votes indirectly through subsidiar</w:t>
      </w:r>
      <w:r w:rsidR="00742A83" w:rsidRPr="00EA2734">
        <w:rPr>
          <w:sz w:val="20"/>
          <w:szCs w:val="20"/>
          <w:lang w:val="en-GB"/>
        </w:rPr>
        <w:t>i</w:t>
      </w:r>
      <w:r w:rsidRPr="00EA2734">
        <w:rPr>
          <w:sz w:val="20"/>
          <w:szCs w:val="20"/>
          <w:lang w:val="en-GB"/>
        </w:rPr>
        <w:t>es has no place. The shareholding structure is updated on the basis of formal notifications from shareholders holding no less than 5 % of the overall number of votes at the General Meeting of the Company Shareholders. In the time from submitting the periodic report for Q1 of 2016 until the date of publication of this report there were changes in the structure of the Issuer’s major stakeholders.</w:t>
      </w:r>
    </w:p>
    <w:p w14:paraId="02EEC168" w14:textId="36D85DC8" w:rsidR="00906A9D" w:rsidRPr="00EA2734" w:rsidRDefault="00EE3BFD" w:rsidP="00425257">
      <w:pPr>
        <w:pStyle w:val="MsrSection2"/>
        <w:numPr>
          <w:ilvl w:val="0"/>
          <w:numId w:val="8"/>
        </w:numPr>
        <w:jc w:val="both"/>
        <w:outlineLvl w:val="0"/>
        <w:rPr>
          <w:rFonts w:ascii="Arial Narrow" w:hAnsi="Arial Narrow" w:cs="Arial"/>
          <w:b w:val="0"/>
          <w:i w:val="0"/>
          <w:color w:val="002060"/>
          <w:sz w:val="28"/>
          <w:szCs w:val="22"/>
          <w:lang w:val="en-GB" w:eastAsia="pl-PL"/>
        </w:rPr>
      </w:pPr>
      <w:bookmarkStart w:id="142" w:name="_Toc465945650"/>
      <w:r w:rsidRPr="00EA2734">
        <w:rPr>
          <w:rFonts w:ascii="Arial Narrow" w:hAnsi="Arial Narrow" w:cs="Arial"/>
          <w:b w:val="0"/>
          <w:i w:val="0"/>
          <w:color w:val="002060"/>
          <w:sz w:val="28"/>
          <w:szCs w:val="22"/>
          <w:lang w:val="en-GB" w:eastAsia="pl-PL"/>
        </w:rPr>
        <w:t>Listing of holding or titles to the Issuer’s shares by the Issuer’s executive and non-executive officers as of the publication date of the semi-annual report, including changes in shareholding, since the publication of the previous report, separately for each individual.</w:t>
      </w:r>
      <w:bookmarkEnd w:id="142"/>
    </w:p>
    <w:p w14:paraId="1C7E6343" w14:textId="77777777" w:rsidR="00906A9D" w:rsidRPr="00EA2734" w:rsidRDefault="00906A9D" w:rsidP="00906A9D">
      <w:pPr>
        <w:widowControl w:val="0"/>
        <w:autoSpaceDE w:val="0"/>
        <w:autoSpaceDN w:val="0"/>
        <w:adjustRightInd w:val="0"/>
        <w:jc w:val="both"/>
        <w:outlineLvl w:val="0"/>
        <w:rPr>
          <w:rFonts w:ascii="Arial Narrow" w:hAnsi="Arial Narrow" w:cs="Arial"/>
          <w:b/>
          <w:sz w:val="22"/>
          <w:szCs w:val="22"/>
          <w:lang w:val="en-GB"/>
        </w:rPr>
      </w:pPr>
    </w:p>
    <w:p w14:paraId="1EBEAD8A" w14:textId="259288EA" w:rsidR="000F2D02" w:rsidRPr="00EA2734" w:rsidRDefault="00EE3BFD" w:rsidP="00373E92">
      <w:pPr>
        <w:pStyle w:val="MsrParagraph"/>
        <w:spacing w:line="276" w:lineRule="auto"/>
        <w:ind w:firstLine="0"/>
        <w:rPr>
          <w:sz w:val="20"/>
          <w:szCs w:val="20"/>
          <w:lang w:val="en-GB"/>
        </w:rPr>
      </w:pPr>
      <w:r w:rsidRPr="00EA2734">
        <w:rPr>
          <w:sz w:val="20"/>
          <w:szCs w:val="20"/>
          <w:lang w:val="en-GB"/>
        </w:rPr>
        <w:t xml:space="preserve">The table below presents the shareholding structure of </w:t>
      </w:r>
      <w:proofErr w:type="spellStart"/>
      <w:r w:rsidRPr="00EA2734">
        <w:rPr>
          <w:sz w:val="20"/>
          <w:szCs w:val="20"/>
          <w:lang w:val="en-GB"/>
        </w:rPr>
        <w:t>OPTeam</w:t>
      </w:r>
      <w:proofErr w:type="spellEnd"/>
      <w:r w:rsidRPr="00EA2734">
        <w:rPr>
          <w:sz w:val="20"/>
          <w:szCs w:val="20"/>
          <w:lang w:val="en-GB"/>
        </w:rPr>
        <w:t xml:space="preserve"> S.A. by members of Management Board and Supervisory Board of </w:t>
      </w:r>
      <w:proofErr w:type="spellStart"/>
      <w:r w:rsidRPr="00EA2734">
        <w:rPr>
          <w:sz w:val="20"/>
          <w:szCs w:val="20"/>
          <w:lang w:val="en-GB"/>
        </w:rPr>
        <w:t>OPTeam</w:t>
      </w:r>
      <w:proofErr w:type="spellEnd"/>
      <w:r w:rsidRPr="00EA2734">
        <w:rPr>
          <w:sz w:val="20"/>
          <w:szCs w:val="20"/>
          <w:lang w:val="en-GB"/>
        </w:rPr>
        <w:t xml:space="preserve">  S.A. on the publication date of the semi-annual  report,  separately  for each individual.</w:t>
      </w:r>
    </w:p>
    <w:p w14:paraId="37B2C8D3" w14:textId="141453A3" w:rsidR="00A469C7" w:rsidRPr="00EA2734" w:rsidRDefault="00A469C7" w:rsidP="00373E92">
      <w:pPr>
        <w:pStyle w:val="MsrParagraph"/>
        <w:spacing w:line="276" w:lineRule="auto"/>
        <w:ind w:firstLine="0"/>
        <w:rPr>
          <w:sz w:val="20"/>
          <w:szCs w:val="20"/>
          <w:lang w:val="en-GB"/>
        </w:rPr>
      </w:pPr>
      <w:r w:rsidRPr="00EA2734">
        <w:rPr>
          <w:sz w:val="20"/>
          <w:szCs w:val="20"/>
          <w:lang w:val="en-GB"/>
        </w:rPr>
        <w:t xml:space="preserve"> </w:t>
      </w:r>
    </w:p>
    <w:tbl>
      <w:tblPr>
        <w:tblW w:w="5043"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70" w:type="dxa"/>
          <w:right w:w="70" w:type="dxa"/>
        </w:tblCellMar>
        <w:tblLook w:val="04A0" w:firstRow="1" w:lastRow="0" w:firstColumn="1" w:lastColumn="0" w:noHBand="0" w:noVBand="1"/>
      </w:tblPr>
      <w:tblGrid>
        <w:gridCol w:w="2972"/>
        <w:gridCol w:w="2269"/>
        <w:gridCol w:w="2164"/>
        <w:gridCol w:w="2021"/>
      </w:tblGrid>
      <w:tr w:rsidR="006F4F47" w:rsidRPr="00EA2734" w14:paraId="595AB5EE" w14:textId="77777777" w:rsidTr="00F179FB">
        <w:trPr>
          <w:trHeight w:val="1205"/>
        </w:trPr>
        <w:tc>
          <w:tcPr>
            <w:tcW w:w="1576" w:type="pct"/>
            <w:shd w:val="pct15" w:color="auto" w:fill="auto"/>
            <w:vAlign w:val="center"/>
            <w:hideMark/>
          </w:tcPr>
          <w:p w14:paraId="60CF1C12" w14:textId="51F1AFE1" w:rsidR="006F4F47" w:rsidRPr="00EA2734" w:rsidRDefault="00EE3BFD" w:rsidP="00373E92">
            <w:pPr>
              <w:spacing w:line="360" w:lineRule="auto"/>
              <w:jc w:val="center"/>
              <w:rPr>
                <w:rFonts w:ascii="Arial Narrow" w:eastAsia="Calibri" w:hAnsi="Arial Narrow"/>
                <w:b/>
                <w:sz w:val="20"/>
                <w:szCs w:val="20"/>
                <w:lang w:val="en-GB"/>
              </w:rPr>
            </w:pPr>
            <w:r w:rsidRPr="00EA2734">
              <w:rPr>
                <w:rFonts w:ascii="Arial Narrow" w:eastAsia="Calibri" w:hAnsi="Arial Narrow"/>
                <w:b/>
                <w:sz w:val="20"/>
                <w:szCs w:val="20"/>
                <w:lang w:val="en-GB"/>
              </w:rPr>
              <w:t>Shareholder</w:t>
            </w:r>
          </w:p>
        </w:tc>
        <w:tc>
          <w:tcPr>
            <w:tcW w:w="1203" w:type="pct"/>
            <w:shd w:val="pct15" w:color="auto" w:fill="auto"/>
            <w:vAlign w:val="center"/>
            <w:hideMark/>
          </w:tcPr>
          <w:p w14:paraId="78DED218" w14:textId="397AF699" w:rsidR="006F4F47" w:rsidRPr="00EA2734" w:rsidRDefault="00EE3BFD" w:rsidP="00373E92">
            <w:pPr>
              <w:spacing w:line="360" w:lineRule="auto"/>
              <w:jc w:val="center"/>
              <w:rPr>
                <w:rFonts w:ascii="Arial Narrow" w:eastAsia="Calibri" w:hAnsi="Arial Narrow"/>
                <w:b/>
                <w:sz w:val="20"/>
                <w:szCs w:val="20"/>
                <w:lang w:val="en-GB"/>
              </w:rPr>
            </w:pPr>
            <w:r w:rsidRPr="00EA2734">
              <w:rPr>
                <w:rFonts w:ascii="Arial Narrow" w:eastAsia="Calibri" w:hAnsi="Arial Narrow"/>
                <w:b/>
                <w:sz w:val="20"/>
                <w:szCs w:val="20"/>
                <w:lang w:val="en-GB"/>
              </w:rPr>
              <w:t xml:space="preserve">Number of shares and votes at the GMS of </w:t>
            </w:r>
            <w:proofErr w:type="spellStart"/>
            <w:r w:rsidRPr="00EA2734">
              <w:rPr>
                <w:rFonts w:ascii="Arial Narrow" w:eastAsia="Calibri" w:hAnsi="Arial Narrow"/>
                <w:b/>
                <w:sz w:val="20"/>
                <w:szCs w:val="20"/>
                <w:lang w:val="en-GB"/>
              </w:rPr>
              <w:t>OPTeam</w:t>
            </w:r>
            <w:proofErr w:type="spellEnd"/>
            <w:r w:rsidRPr="00EA2734">
              <w:rPr>
                <w:rFonts w:ascii="Arial Narrow" w:eastAsia="Calibri" w:hAnsi="Arial Narrow"/>
                <w:b/>
                <w:sz w:val="20"/>
                <w:szCs w:val="20"/>
                <w:lang w:val="en-GB"/>
              </w:rPr>
              <w:t xml:space="preserve"> SA</w:t>
            </w:r>
          </w:p>
        </w:tc>
        <w:tc>
          <w:tcPr>
            <w:tcW w:w="1148" w:type="pct"/>
            <w:shd w:val="pct15" w:color="auto" w:fill="auto"/>
            <w:vAlign w:val="center"/>
          </w:tcPr>
          <w:p w14:paraId="172EE4CC" w14:textId="38F21BDD" w:rsidR="006F4F47" w:rsidRPr="00EA2734" w:rsidRDefault="00EE3BFD" w:rsidP="00373E92">
            <w:pPr>
              <w:spacing w:line="360" w:lineRule="auto"/>
              <w:jc w:val="center"/>
              <w:rPr>
                <w:rFonts w:ascii="Arial Narrow" w:eastAsia="Calibri" w:hAnsi="Arial Narrow"/>
                <w:b/>
                <w:sz w:val="20"/>
                <w:szCs w:val="20"/>
                <w:lang w:val="en-GB"/>
              </w:rPr>
            </w:pPr>
            <w:r w:rsidRPr="00EA2734">
              <w:rPr>
                <w:rFonts w:ascii="Arial Narrow" w:eastAsia="Calibri" w:hAnsi="Arial Narrow"/>
                <w:b/>
                <w:sz w:val="20"/>
                <w:szCs w:val="20"/>
                <w:lang w:val="en-GB"/>
              </w:rPr>
              <w:t>Nominal value in PLN</w:t>
            </w:r>
          </w:p>
        </w:tc>
        <w:tc>
          <w:tcPr>
            <w:tcW w:w="1072" w:type="pct"/>
            <w:shd w:val="pct15" w:color="auto" w:fill="auto"/>
            <w:vAlign w:val="center"/>
            <w:hideMark/>
          </w:tcPr>
          <w:p w14:paraId="04234D57" w14:textId="2A638875" w:rsidR="006F4F47" w:rsidRPr="00EA2734" w:rsidRDefault="006F4F47" w:rsidP="00EE3BFD">
            <w:pPr>
              <w:jc w:val="center"/>
              <w:rPr>
                <w:rFonts w:ascii="Arial Narrow" w:eastAsia="Calibri" w:hAnsi="Arial Narrow"/>
                <w:b/>
                <w:sz w:val="20"/>
                <w:szCs w:val="20"/>
                <w:lang w:val="en-GB"/>
              </w:rPr>
            </w:pPr>
            <w:r w:rsidRPr="00EA2734">
              <w:rPr>
                <w:rFonts w:ascii="Arial Narrow" w:eastAsia="Calibri" w:hAnsi="Arial Narrow"/>
                <w:b/>
                <w:sz w:val="20"/>
                <w:szCs w:val="20"/>
                <w:lang w:val="en-GB"/>
              </w:rPr>
              <w:t xml:space="preserve">% </w:t>
            </w:r>
            <w:r w:rsidR="00EE3BFD" w:rsidRPr="00EA2734">
              <w:rPr>
                <w:rFonts w:ascii="Arial Narrow" w:eastAsia="Calibri" w:hAnsi="Arial Narrow"/>
                <w:b/>
                <w:sz w:val="20"/>
                <w:szCs w:val="20"/>
                <w:lang w:val="en-GB"/>
              </w:rPr>
              <w:t xml:space="preserve">share in authorised capital and overall number of votes at the GMS of </w:t>
            </w:r>
            <w:proofErr w:type="spellStart"/>
            <w:r w:rsidR="00EE3BFD" w:rsidRPr="00EA2734">
              <w:rPr>
                <w:rFonts w:ascii="Arial Narrow" w:eastAsia="Calibri" w:hAnsi="Arial Narrow"/>
                <w:b/>
                <w:sz w:val="20"/>
                <w:szCs w:val="20"/>
                <w:lang w:val="en-GB"/>
              </w:rPr>
              <w:t>OPTeam</w:t>
            </w:r>
            <w:proofErr w:type="spellEnd"/>
            <w:r w:rsidR="00EE3BFD" w:rsidRPr="00EA2734">
              <w:rPr>
                <w:rFonts w:ascii="Arial Narrow" w:eastAsia="Calibri" w:hAnsi="Arial Narrow"/>
                <w:b/>
                <w:sz w:val="20"/>
                <w:szCs w:val="20"/>
                <w:lang w:val="en-GB"/>
              </w:rPr>
              <w:t xml:space="preserve"> SA</w:t>
            </w:r>
          </w:p>
        </w:tc>
      </w:tr>
      <w:tr w:rsidR="00F179FB" w:rsidRPr="00EA2734" w14:paraId="3A876CB5" w14:textId="77777777" w:rsidTr="00F179FB">
        <w:trPr>
          <w:trHeight w:val="546"/>
        </w:trPr>
        <w:tc>
          <w:tcPr>
            <w:tcW w:w="1576" w:type="pct"/>
            <w:vAlign w:val="center"/>
            <w:hideMark/>
          </w:tcPr>
          <w:p w14:paraId="08025590" w14:textId="4157B5D0" w:rsidR="00F179FB" w:rsidRPr="00EA2734" w:rsidRDefault="00F179FB" w:rsidP="00537802">
            <w:pPr>
              <w:rPr>
                <w:rFonts w:ascii="Arial Narrow" w:eastAsia="Calibri" w:hAnsi="Arial Narrow"/>
                <w:sz w:val="20"/>
                <w:szCs w:val="20"/>
                <w:lang w:val="en-GB"/>
              </w:rPr>
            </w:pPr>
            <w:proofErr w:type="spellStart"/>
            <w:r w:rsidRPr="00EA2734">
              <w:rPr>
                <w:rFonts w:ascii="Arial Narrow" w:eastAsia="Calibri" w:hAnsi="Arial Narrow"/>
                <w:sz w:val="20"/>
                <w:szCs w:val="20"/>
                <w:lang w:val="en-GB"/>
              </w:rPr>
              <w:lastRenderedPageBreak/>
              <w:t>Janusz</w:t>
            </w:r>
            <w:proofErr w:type="spellEnd"/>
            <w:r w:rsidRPr="00EA2734">
              <w:rPr>
                <w:rFonts w:ascii="Arial Narrow" w:eastAsia="Calibri" w:hAnsi="Arial Narrow"/>
                <w:sz w:val="20"/>
                <w:szCs w:val="20"/>
                <w:lang w:val="en-GB"/>
              </w:rPr>
              <w:t xml:space="preserve"> </w:t>
            </w:r>
            <w:proofErr w:type="spellStart"/>
            <w:r w:rsidRPr="00EA2734">
              <w:rPr>
                <w:rFonts w:ascii="Arial Narrow" w:eastAsia="Calibri" w:hAnsi="Arial Narrow"/>
                <w:sz w:val="20"/>
                <w:szCs w:val="20"/>
                <w:lang w:val="en-GB"/>
              </w:rPr>
              <w:t>Bober</w:t>
            </w:r>
            <w:proofErr w:type="spellEnd"/>
            <w:r w:rsidRPr="00EA2734">
              <w:rPr>
                <w:rFonts w:ascii="Arial Narrow" w:eastAsia="Calibri" w:hAnsi="Arial Narrow"/>
                <w:sz w:val="20"/>
                <w:szCs w:val="20"/>
                <w:lang w:val="en-GB"/>
              </w:rPr>
              <w:t xml:space="preserve"> –</w:t>
            </w:r>
            <w:r w:rsidR="00EE3BFD" w:rsidRPr="00EA2734">
              <w:rPr>
                <w:rFonts w:ascii="Arial Narrow" w:eastAsia="Arial Unicode MS" w:hAnsi="Arial Narrow"/>
                <w:sz w:val="20"/>
                <w:lang w:val="en-GB"/>
              </w:rPr>
              <w:t>Chairman of the Supervisory Board</w:t>
            </w:r>
          </w:p>
        </w:tc>
        <w:tc>
          <w:tcPr>
            <w:tcW w:w="1203" w:type="pct"/>
            <w:vAlign w:val="center"/>
            <w:hideMark/>
          </w:tcPr>
          <w:p w14:paraId="5C993094" w14:textId="77777777"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1 372 523</w:t>
            </w:r>
          </w:p>
        </w:tc>
        <w:tc>
          <w:tcPr>
            <w:tcW w:w="1148" w:type="pct"/>
            <w:vAlign w:val="center"/>
          </w:tcPr>
          <w:p w14:paraId="7BE9919A" w14:textId="59F99FEE"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137 252</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30</w:t>
            </w:r>
          </w:p>
        </w:tc>
        <w:tc>
          <w:tcPr>
            <w:tcW w:w="1072" w:type="pct"/>
            <w:vAlign w:val="center"/>
            <w:hideMark/>
          </w:tcPr>
          <w:p w14:paraId="4A83BA1B" w14:textId="41F00CC8"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18</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80%</w:t>
            </w:r>
          </w:p>
        </w:tc>
      </w:tr>
      <w:tr w:rsidR="00F179FB" w:rsidRPr="00EA2734" w14:paraId="256EC31B" w14:textId="77777777" w:rsidTr="00F179FB">
        <w:trPr>
          <w:trHeight w:val="462"/>
        </w:trPr>
        <w:tc>
          <w:tcPr>
            <w:tcW w:w="1576" w:type="pct"/>
            <w:vAlign w:val="center"/>
            <w:hideMark/>
          </w:tcPr>
          <w:p w14:paraId="78623FDB" w14:textId="5CE6C833" w:rsidR="00F179FB" w:rsidRPr="00EA2734" w:rsidRDefault="00F179FB" w:rsidP="00537802">
            <w:pPr>
              <w:rPr>
                <w:rFonts w:ascii="Arial Narrow" w:eastAsia="Calibri" w:hAnsi="Arial Narrow"/>
                <w:sz w:val="20"/>
                <w:szCs w:val="20"/>
                <w:lang w:val="en-GB"/>
              </w:rPr>
            </w:pPr>
            <w:r w:rsidRPr="00EA2734">
              <w:rPr>
                <w:rFonts w:ascii="Arial Narrow" w:eastAsia="Calibri" w:hAnsi="Arial Narrow"/>
                <w:sz w:val="20"/>
                <w:szCs w:val="20"/>
                <w:lang w:val="en-GB"/>
              </w:rPr>
              <w:t xml:space="preserve">Andrzej </w:t>
            </w:r>
            <w:proofErr w:type="spellStart"/>
            <w:r w:rsidRPr="00EA2734">
              <w:rPr>
                <w:rFonts w:ascii="Arial Narrow" w:eastAsia="Calibri" w:hAnsi="Arial Narrow"/>
                <w:sz w:val="20"/>
                <w:szCs w:val="20"/>
                <w:lang w:val="en-GB"/>
              </w:rPr>
              <w:t>Pelczar</w:t>
            </w:r>
            <w:proofErr w:type="spellEnd"/>
            <w:r w:rsidRPr="00EA2734">
              <w:rPr>
                <w:rFonts w:ascii="Arial Narrow" w:eastAsia="Calibri" w:hAnsi="Arial Narrow"/>
                <w:sz w:val="20"/>
                <w:szCs w:val="20"/>
                <w:lang w:val="en-GB"/>
              </w:rPr>
              <w:t xml:space="preserve"> –</w:t>
            </w:r>
            <w:r w:rsidR="00EE3BFD" w:rsidRPr="00EA2734">
              <w:rPr>
                <w:rFonts w:ascii="Arial Narrow" w:eastAsia="Arial Unicode MS" w:hAnsi="Arial Narrow"/>
                <w:sz w:val="20"/>
                <w:lang w:val="en-GB"/>
              </w:rPr>
              <w:t>Vice Chairman of the Supervisory Board</w:t>
            </w:r>
          </w:p>
        </w:tc>
        <w:tc>
          <w:tcPr>
            <w:tcW w:w="1203" w:type="pct"/>
            <w:vAlign w:val="center"/>
            <w:hideMark/>
          </w:tcPr>
          <w:p w14:paraId="6C38A82C" w14:textId="77777777"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1 372 523</w:t>
            </w:r>
          </w:p>
        </w:tc>
        <w:tc>
          <w:tcPr>
            <w:tcW w:w="1148" w:type="pct"/>
            <w:vAlign w:val="center"/>
          </w:tcPr>
          <w:p w14:paraId="54988450" w14:textId="445570A8"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137 252</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30</w:t>
            </w:r>
          </w:p>
        </w:tc>
        <w:tc>
          <w:tcPr>
            <w:tcW w:w="1072" w:type="pct"/>
            <w:vAlign w:val="center"/>
            <w:hideMark/>
          </w:tcPr>
          <w:p w14:paraId="7A18D34A" w14:textId="6939C893"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18</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80%</w:t>
            </w:r>
          </w:p>
        </w:tc>
      </w:tr>
      <w:tr w:rsidR="00F179FB" w:rsidRPr="00EA2734" w14:paraId="217348D8" w14:textId="77777777" w:rsidTr="00F179FB">
        <w:trPr>
          <w:trHeight w:val="494"/>
        </w:trPr>
        <w:tc>
          <w:tcPr>
            <w:tcW w:w="1576" w:type="pct"/>
            <w:vAlign w:val="center"/>
            <w:hideMark/>
          </w:tcPr>
          <w:p w14:paraId="253FBB27" w14:textId="1C9B2BFD" w:rsidR="00F179FB" w:rsidRPr="00EA2734" w:rsidRDefault="00F179FB" w:rsidP="00537802">
            <w:pPr>
              <w:rPr>
                <w:rFonts w:ascii="Arial Narrow" w:eastAsia="Calibri" w:hAnsi="Arial Narrow"/>
                <w:sz w:val="20"/>
                <w:szCs w:val="20"/>
                <w:lang w:val="en-GB"/>
              </w:rPr>
            </w:pPr>
            <w:proofErr w:type="spellStart"/>
            <w:r w:rsidRPr="00EA2734">
              <w:rPr>
                <w:rFonts w:ascii="Arial Narrow" w:eastAsia="Calibri" w:hAnsi="Arial Narrow"/>
                <w:sz w:val="20"/>
                <w:szCs w:val="20"/>
                <w:lang w:val="en-GB"/>
              </w:rPr>
              <w:t>Ryszard</w:t>
            </w:r>
            <w:proofErr w:type="spellEnd"/>
            <w:r w:rsidRPr="00EA2734">
              <w:rPr>
                <w:rFonts w:ascii="Arial Narrow" w:eastAsia="Calibri" w:hAnsi="Arial Narrow"/>
                <w:sz w:val="20"/>
                <w:szCs w:val="20"/>
                <w:lang w:val="en-GB"/>
              </w:rPr>
              <w:t xml:space="preserve"> </w:t>
            </w:r>
            <w:proofErr w:type="spellStart"/>
            <w:r w:rsidRPr="00EA2734">
              <w:rPr>
                <w:rFonts w:ascii="Arial Narrow" w:eastAsia="Calibri" w:hAnsi="Arial Narrow"/>
                <w:sz w:val="20"/>
                <w:szCs w:val="20"/>
                <w:lang w:val="en-GB"/>
              </w:rPr>
              <w:t>Woźniak</w:t>
            </w:r>
            <w:proofErr w:type="spellEnd"/>
            <w:r w:rsidRPr="00EA2734">
              <w:rPr>
                <w:rFonts w:ascii="Arial Narrow" w:eastAsia="Calibri" w:hAnsi="Arial Narrow"/>
                <w:sz w:val="20"/>
                <w:szCs w:val="20"/>
                <w:lang w:val="en-GB"/>
              </w:rPr>
              <w:t xml:space="preserve"> - </w:t>
            </w:r>
            <w:r w:rsidR="00EE3BFD" w:rsidRPr="00EA2734">
              <w:rPr>
                <w:rFonts w:ascii="Arial Narrow" w:eastAsia="Arial Unicode MS" w:hAnsi="Arial Narrow"/>
                <w:sz w:val="20"/>
                <w:lang w:val="en-GB"/>
              </w:rPr>
              <w:t>Vice President of the Management Board</w:t>
            </w:r>
          </w:p>
        </w:tc>
        <w:tc>
          <w:tcPr>
            <w:tcW w:w="1203" w:type="pct"/>
            <w:vAlign w:val="center"/>
            <w:hideMark/>
          </w:tcPr>
          <w:p w14:paraId="18FB8091" w14:textId="77777777"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1 378 512</w:t>
            </w:r>
          </w:p>
        </w:tc>
        <w:tc>
          <w:tcPr>
            <w:tcW w:w="1148" w:type="pct"/>
            <w:vAlign w:val="center"/>
          </w:tcPr>
          <w:p w14:paraId="037FF367" w14:textId="28A2E258"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137 851</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20</w:t>
            </w:r>
          </w:p>
        </w:tc>
        <w:tc>
          <w:tcPr>
            <w:tcW w:w="1072" w:type="pct"/>
            <w:vAlign w:val="center"/>
            <w:hideMark/>
          </w:tcPr>
          <w:p w14:paraId="5EA956C9" w14:textId="16729C5C"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18</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88%</w:t>
            </w:r>
          </w:p>
        </w:tc>
      </w:tr>
      <w:tr w:rsidR="00F179FB" w:rsidRPr="00EA2734" w14:paraId="76B60838" w14:textId="77777777" w:rsidTr="00F179FB">
        <w:trPr>
          <w:trHeight w:val="502"/>
        </w:trPr>
        <w:tc>
          <w:tcPr>
            <w:tcW w:w="1576" w:type="pct"/>
            <w:vAlign w:val="center"/>
          </w:tcPr>
          <w:p w14:paraId="5EBE488E" w14:textId="07F34C20" w:rsidR="00F179FB" w:rsidRPr="00EA2734" w:rsidRDefault="00347D77" w:rsidP="00537802">
            <w:pPr>
              <w:rPr>
                <w:rFonts w:ascii="Arial Narrow" w:eastAsia="Calibri" w:hAnsi="Arial Narrow"/>
                <w:sz w:val="20"/>
                <w:szCs w:val="20"/>
                <w:lang w:val="en-GB"/>
              </w:rPr>
            </w:pPr>
            <w:proofErr w:type="spellStart"/>
            <w:r w:rsidRPr="00EA2734">
              <w:rPr>
                <w:rFonts w:ascii="Arial Narrow" w:eastAsia="Calibri" w:hAnsi="Arial Narrow"/>
                <w:sz w:val="20"/>
                <w:szCs w:val="20"/>
                <w:lang w:val="en-GB"/>
              </w:rPr>
              <w:t>Wacław</w:t>
            </w:r>
            <w:proofErr w:type="spellEnd"/>
            <w:r w:rsidRPr="00EA2734">
              <w:rPr>
                <w:rFonts w:ascii="Arial Narrow" w:eastAsia="Calibri" w:hAnsi="Arial Narrow"/>
                <w:sz w:val="20"/>
                <w:szCs w:val="20"/>
                <w:lang w:val="en-GB"/>
              </w:rPr>
              <w:t xml:space="preserve"> </w:t>
            </w:r>
            <w:proofErr w:type="spellStart"/>
            <w:r w:rsidRPr="00EA2734">
              <w:rPr>
                <w:rFonts w:ascii="Arial Narrow" w:eastAsia="Calibri" w:hAnsi="Arial Narrow"/>
                <w:sz w:val="20"/>
                <w:szCs w:val="20"/>
                <w:lang w:val="en-GB"/>
              </w:rPr>
              <w:t>Szary</w:t>
            </w:r>
            <w:proofErr w:type="spellEnd"/>
            <w:r w:rsidRPr="00EA2734">
              <w:rPr>
                <w:rFonts w:ascii="Arial Narrow" w:eastAsia="Calibri" w:hAnsi="Arial Narrow"/>
                <w:sz w:val="20"/>
                <w:szCs w:val="20"/>
                <w:lang w:val="en-GB"/>
              </w:rPr>
              <w:t xml:space="preserve"> –</w:t>
            </w:r>
            <w:r w:rsidR="00EE3BFD" w:rsidRPr="00EA2734">
              <w:rPr>
                <w:rFonts w:ascii="Arial Narrow" w:eastAsia="Arial Unicode MS" w:hAnsi="Arial Narrow"/>
                <w:sz w:val="20"/>
                <w:lang w:val="en-GB"/>
              </w:rPr>
              <w:t>President of the Management Board</w:t>
            </w:r>
          </w:p>
        </w:tc>
        <w:tc>
          <w:tcPr>
            <w:tcW w:w="1203" w:type="pct"/>
            <w:vAlign w:val="center"/>
          </w:tcPr>
          <w:p w14:paraId="44F2515E" w14:textId="77777777" w:rsidR="00F179FB" w:rsidRPr="00EA2734" w:rsidRDefault="009B12A1" w:rsidP="009B12A1">
            <w:pPr>
              <w:jc w:val="right"/>
              <w:rPr>
                <w:rFonts w:ascii="Arial Narrow" w:eastAsia="Calibri" w:hAnsi="Arial Narrow"/>
                <w:sz w:val="20"/>
                <w:szCs w:val="20"/>
                <w:lang w:val="en-GB"/>
              </w:rPr>
            </w:pPr>
            <w:r w:rsidRPr="00EA2734">
              <w:rPr>
                <w:rFonts w:ascii="Arial Narrow" w:eastAsia="Calibri" w:hAnsi="Arial Narrow"/>
                <w:sz w:val="20"/>
                <w:szCs w:val="20"/>
                <w:lang w:val="en-GB"/>
              </w:rPr>
              <w:t>407</w:t>
            </w:r>
            <w:r w:rsidR="00F179FB" w:rsidRPr="00EA2734">
              <w:rPr>
                <w:rFonts w:ascii="Arial Narrow" w:eastAsia="Calibri" w:hAnsi="Arial Narrow"/>
                <w:sz w:val="20"/>
                <w:szCs w:val="20"/>
                <w:lang w:val="en-GB"/>
              </w:rPr>
              <w:t xml:space="preserve"> </w:t>
            </w:r>
            <w:r w:rsidRPr="00EA2734">
              <w:rPr>
                <w:rFonts w:ascii="Arial Narrow" w:eastAsia="Calibri" w:hAnsi="Arial Narrow"/>
                <w:sz w:val="20"/>
                <w:szCs w:val="20"/>
                <w:lang w:val="en-GB"/>
              </w:rPr>
              <w:t>899</w:t>
            </w:r>
          </w:p>
        </w:tc>
        <w:tc>
          <w:tcPr>
            <w:tcW w:w="1148" w:type="pct"/>
            <w:vAlign w:val="center"/>
          </w:tcPr>
          <w:p w14:paraId="1F285E90" w14:textId="037B8FF0" w:rsidR="00F179FB" w:rsidRPr="00EA2734" w:rsidRDefault="00F179FB" w:rsidP="009B12A1">
            <w:pPr>
              <w:jc w:val="right"/>
              <w:rPr>
                <w:rFonts w:ascii="Arial Narrow" w:eastAsia="Calibri" w:hAnsi="Arial Narrow"/>
                <w:sz w:val="20"/>
                <w:szCs w:val="20"/>
                <w:lang w:val="en-GB"/>
              </w:rPr>
            </w:pPr>
            <w:r w:rsidRPr="00EA2734">
              <w:rPr>
                <w:rFonts w:ascii="Arial Narrow" w:eastAsia="Calibri" w:hAnsi="Arial Narrow"/>
                <w:sz w:val="20"/>
                <w:szCs w:val="20"/>
                <w:lang w:val="en-GB"/>
              </w:rPr>
              <w:t>40 </w:t>
            </w:r>
            <w:r w:rsidR="009B12A1" w:rsidRPr="00EA2734">
              <w:rPr>
                <w:rFonts w:ascii="Arial Narrow" w:eastAsia="Calibri" w:hAnsi="Arial Narrow"/>
                <w:sz w:val="20"/>
                <w:szCs w:val="20"/>
                <w:lang w:val="en-GB"/>
              </w:rPr>
              <w:t>789</w:t>
            </w:r>
            <w:r w:rsidR="00742B9B" w:rsidRPr="00EA2734">
              <w:rPr>
                <w:rFonts w:ascii="Arial Narrow" w:eastAsia="Calibri" w:hAnsi="Arial Narrow"/>
                <w:sz w:val="20"/>
                <w:szCs w:val="20"/>
                <w:lang w:val="en-GB"/>
              </w:rPr>
              <w:t>.</w:t>
            </w:r>
            <w:r w:rsidR="009B12A1" w:rsidRPr="00EA2734">
              <w:rPr>
                <w:rFonts w:ascii="Arial Narrow" w:eastAsia="Calibri" w:hAnsi="Arial Narrow"/>
                <w:sz w:val="20"/>
                <w:szCs w:val="20"/>
                <w:lang w:val="en-GB"/>
              </w:rPr>
              <w:t>9</w:t>
            </w:r>
            <w:r w:rsidRPr="00EA2734">
              <w:rPr>
                <w:rFonts w:ascii="Arial Narrow" w:eastAsia="Calibri" w:hAnsi="Arial Narrow"/>
                <w:sz w:val="20"/>
                <w:szCs w:val="20"/>
                <w:lang w:val="en-GB"/>
              </w:rPr>
              <w:t>0</w:t>
            </w:r>
          </w:p>
        </w:tc>
        <w:tc>
          <w:tcPr>
            <w:tcW w:w="1072" w:type="pct"/>
            <w:vAlign w:val="center"/>
          </w:tcPr>
          <w:p w14:paraId="6AC084DD" w14:textId="5A27DA1E" w:rsidR="00F179FB" w:rsidRPr="00EA2734" w:rsidRDefault="00F179FB" w:rsidP="009B12A1">
            <w:pPr>
              <w:jc w:val="right"/>
              <w:rPr>
                <w:rFonts w:ascii="Arial Narrow" w:eastAsia="Calibri" w:hAnsi="Arial Narrow"/>
                <w:sz w:val="20"/>
                <w:szCs w:val="20"/>
                <w:lang w:val="en-GB"/>
              </w:rPr>
            </w:pPr>
            <w:r w:rsidRPr="00EA2734">
              <w:rPr>
                <w:rFonts w:ascii="Arial Narrow" w:eastAsia="Calibri" w:hAnsi="Arial Narrow"/>
                <w:sz w:val="20"/>
                <w:szCs w:val="20"/>
                <w:lang w:val="en-GB"/>
              </w:rPr>
              <w:t>5</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5</w:t>
            </w:r>
            <w:r w:rsidR="009B12A1" w:rsidRPr="00EA2734">
              <w:rPr>
                <w:rFonts w:ascii="Arial Narrow" w:eastAsia="Calibri" w:hAnsi="Arial Narrow"/>
                <w:sz w:val="20"/>
                <w:szCs w:val="20"/>
                <w:lang w:val="en-GB"/>
              </w:rPr>
              <w:t>9</w:t>
            </w:r>
            <w:r w:rsidRPr="00EA2734">
              <w:rPr>
                <w:rFonts w:ascii="Arial Narrow" w:eastAsia="Calibri" w:hAnsi="Arial Narrow"/>
                <w:sz w:val="20"/>
                <w:szCs w:val="20"/>
                <w:lang w:val="en-GB"/>
              </w:rPr>
              <w:t xml:space="preserve"> %</w:t>
            </w:r>
          </w:p>
        </w:tc>
      </w:tr>
      <w:tr w:rsidR="00F179FB" w:rsidRPr="00EA2734" w14:paraId="0C0760C0" w14:textId="77777777" w:rsidTr="00F179FB">
        <w:trPr>
          <w:trHeight w:val="494"/>
        </w:trPr>
        <w:tc>
          <w:tcPr>
            <w:tcW w:w="1576" w:type="pct"/>
            <w:vAlign w:val="center"/>
          </w:tcPr>
          <w:p w14:paraId="406648CD" w14:textId="1BBC187B" w:rsidR="00F179FB" w:rsidRPr="00EA2734" w:rsidRDefault="00F179FB" w:rsidP="00537802">
            <w:pPr>
              <w:rPr>
                <w:rFonts w:ascii="Arial Narrow" w:eastAsia="Calibri" w:hAnsi="Arial Narrow"/>
                <w:sz w:val="20"/>
                <w:szCs w:val="20"/>
                <w:lang w:val="en-GB"/>
              </w:rPr>
            </w:pPr>
            <w:r w:rsidRPr="00EA2734">
              <w:rPr>
                <w:rFonts w:ascii="Arial Narrow" w:eastAsia="Calibri" w:hAnsi="Arial Narrow"/>
                <w:sz w:val="20"/>
                <w:szCs w:val="20"/>
                <w:lang w:val="en-GB"/>
              </w:rPr>
              <w:t xml:space="preserve">Bogdan </w:t>
            </w:r>
            <w:proofErr w:type="spellStart"/>
            <w:r w:rsidRPr="00EA2734">
              <w:rPr>
                <w:rFonts w:ascii="Arial Narrow" w:eastAsia="Calibri" w:hAnsi="Arial Narrow"/>
                <w:sz w:val="20"/>
                <w:szCs w:val="20"/>
                <w:lang w:val="en-GB"/>
              </w:rPr>
              <w:t>Niziołek</w:t>
            </w:r>
            <w:proofErr w:type="spellEnd"/>
            <w:r w:rsidRPr="00EA2734">
              <w:rPr>
                <w:rFonts w:ascii="Arial Narrow" w:eastAsia="Calibri" w:hAnsi="Arial Narrow"/>
                <w:sz w:val="20"/>
                <w:szCs w:val="20"/>
                <w:lang w:val="en-GB"/>
              </w:rPr>
              <w:t xml:space="preserve">  - </w:t>
            </w:r>
            <w:r w:rsidR="00EE3BFD" w:rsidRPr="00EA2734">
              <w:rPr>
                <w:rFonts w:ascii="Arial Narrow" w:eastAsia="Arial Unicode MS" w:hAnsi="Arial Narrow"/>
                <w:sz w:val="20"/>
                <w:lang w:val="en-GB"/>
              </w:rPr>
              <w:t>Vice President of the Management Board</w:t>
            </w:r>
          </w:p>
        </w:tc>
        <w:tc>
          <w:tcPr>
            <w:tcW w:w="1203" w:type="pct"/>
            <w:vAlign w:val="center"/>
          </w:tcPr>
          <w:p w14:paraId="2F03AF13" w14:textId="77777777"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9 908</w:t>
            </w:r>
          </w:p>
        </w:tc>
        <w:tc>
          <w:tcPr>
            <w:tcW w:w="1148" w:type="pct"/>
            <w:vAlign w:val="center"/>
          </w:tcPr>
          <w:p w14:paraId="3B603422" w14:textId="62DE56FF"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990</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80</w:t>
            </w:r>
          </w:p>
        </w:tc>
        <w:tc>
          <w:tcPr>
            <w:tcW w:w="1072" w:type="pct"/>
            <w:vAlign w:val="center"/>
          </w:tcPr>
          <w:p w14:paraId="74BCDA15" w14:textId="04F84382" w:rsidR="00F179FB" w:rsidRPr="00EA2734" w:rsidRDefault="00F179FB" w:rsidP="00F179FB">
            <w:pPr>
              <w:jc w:val="right"/>
              <w:rPr>
                <w:rFonts w:ascii="Arial Narrow" w:eastAsia="Calibri" w:hAnsi="Arial Narrow"/>
                <w:sz w:val="20"/>
                <w:szCs w:val="20"/>
                <w:lang w:val="en-GB"/>
              </w:rPr>
            </w:pPr>
            <w:r w:rsidRPr="00EA2734">
              <w:rPr>
                <w:rFonts w:ascii="Arial Narrow" w:eastAsia="Calibri" w:hAnsi="Arial Narrow"/>
                <w:sz w:val="20"/>
                <w:szCs w:val="20"/>
                <w:lang w:val="en-GB"/>
              </w:rPr>
              <w:t>0</w:t>
            </w:r>
            <w:r w:rsidR="00742B9B" w:rsidRPr="00EA2734">
              <w:rPr>
                <w:rFonts w:ascii="Arial Narrow" w:eastAsia="Calibri" w:hAnsi="Arial Narrow"/>
                <w:sz w:val="20"/>
                <w:szCs w:val="20"/>
                <w:lang w:val="en-GB"/>
              </w:rPr>
              <w:t>.</w:t>
            </w:r>
            <w:r w:rsidRPr="00EA2734">
              <w:rPr>
                <w:rFonts w:ascii="Arial Narrow" w:eastAsia="Calibri" w:hAnsi="Arial Narrow"/>
                <w:sz w:val="20"/>
                <w:szCs w:val="20"/>
                <w:lang w:val="en-GB"/>
              </w:rPr>
              <w:t>14%</w:t>
            </w:r>
          </w:p>
        </w:tc>
      </w:tr>
    </w:tbl>
    <w:p w14:paraId="148576AC" w14:textId="77777777" w:rsidR="00A469C7" w:rsidRPr="00EA2734" w:rsidRDefault="00A469C7" w:rsidP="00A469C7">
      <w:pPr>
        <w:pStyle w:val="MsrParagraph"/>
        <w:spacing w:line="240" w:lineRule="auto"/>
        <w:ind w:firstLine="0"/>
        <w:rPr>
          <w:sz w:val="20"/>
          <w:szCs w:val="20"/>
          <w:lang w:val="en-GB"/>
        </w:rPr>
      </w:pPr>
    </w:p>
    <w:p w14:paraId="5F2673E8" w14:textId="1D97783B" w:rsidR="00B16F58" w:rsidRPr="00EA2734" w:rsidRDefault="00EE3BFD" w:rsidP="00B16F58">
      <w:pPr>
        <w:pStyle w:val="MsrSection2"/>
        <w:numPr>
          <w:ilvl w:val="0"/>
          <w:numId w:val="8"/>
        </w:numPr>
        <w:jc w:val="both"/>
        <w:outlineLvl w:val="0"/>
        <w:rPr>
          <w:rFonts w:ascii="Arial Narrow" w:hAnsi="Arial Narrow" w:cs="Arial"/>
          <w:b w:val="0"/>
          <w:i w:val="0"/>
          <w:color w:val="002060"/>
          <w:sz w:val="28"/>
          <w:szCs w:val="22"/>
          <w:lang w:val="en-GB" w:eastAsia="pl-PL"/>
        </w:rPr>
      </w:pPr>
      <w:bookmarkStart w:id="143" w:name="_Toc465945651"/>
      <w:r w:rsidRPr="00EA2734">
        <w:rPr>
          <w:rFonts w:ascii="Arial Narrow" w:hAnsi="Arial Narrow" w:cs="Arial"/>
          <w:b w:val="0"/>
          <w:i w:val="0"/>
          <w:color w:val="002060"/>
          <w:sz w:val="28"/>
          <w:szCs w:val="22"/>
          <w:lang w:val="en-GB" w:eastAsia="pl-PL"/>
        </w:rPr>
        <w:t>Information on loan sureties or securities granted by the Issuer – to one entity or its subsidiary, if the total amount of existing sureties or guarantees is equivalent to at least 10% of the Issuer’s equity</w:t>
      </w:r>
      <w:bookmarkEnd w:id="143"/>
    </w:p>
    <w:p w14:paraId="613979CC" w14:textId="77777777" w:rsidR="00B82C56" w:rsidRPr="00EA2734" w:rsidRDefault="00B82C56" w:rsidP="00B82C56">
      <w:pPr>
        <w:pStyle w:val="Zwykytekst"/>
        <w:rPr>
          <w:lang w:val="en-GB"/>
        </w:rPr>
      </w:pPr>
    </w:p>
    <w:p w14:paraId="38687DAD" w14:textId="56EC4441" w:rsidR="00D541B6" w:rsidRPr="00EA2734" w:rsidRDefault="002F0872" w:rsidP="00373E92">
      <w:pPr>
        <w:pStyle w:val="MsrParagraph"/>
        <w:spacing w:line="276" w:lineRule="auto"/>
        <w:ind w:firstLine="0"/>
        <w:rPr>
          <w:sz w:val="20"/>
          <w:szCs w:val="20"/>
          <w:lang w:val="en-GB"/>
        </w:rPr>
      </w:pPr>
      <w:r w:rsidRPr="00EA2734">
        <w:rPr>
          <w:sz w:val="20"/>
          <w:szCs w:val="20"/>
          <w:lang w:val="en-GB"/>
        </w:rPr>
        <w:t xml:space="preserve">The Management Board of </w:t>
      </w:r>
      <w:proofErr w:type="spellStart"/>
      <w:r w:rsidRPr="00EA2734">
        <w:rPr>
          <w:sz w:val="20"/>
          <w:szCs w:val="20"/>
          <w:lang w:val="en-GB"/>
        </w:rPr>
        <w:t>OPTeam</w:t>
      </w:r>
      <w:proofErr w:type="spellEnd"/>
      <w:r w:rsidRPr="00EA2734">
        <w:rPr>
          <w:sz w:val="20"/>
          <w:szCs w:val="20"/>
          <w:lang w:val="en-GB"/>
        </w:rPr>
        <w:t xml:space="preserve"> S.A. signed a surety agreement for the affiliated company i.e. Centre of Electronic Clearance Polish </w:t>
      </w:r>
      <w:proofErr w:type="spellStart"/>
      <w:r w:rsidRPr="00EA2734">
        <w:rPr>
          <w:sz w:val="20"/>
          <w:szCs w:val="20"/>
          <w:lang w:val="en-GB"/>
        </w:rPr>
        <w:t>ePayment</w:t>
      </w:r>
      <w:proofErr w:type="spellEnd"/>
      <w:r w:rsidRPr="00EA2734">
        <w:rPr>
          <w:sz w:val="20"/>
          <w:szCs w:val="20"/>
          <w:lang w:val="en-GB"/>
        </w:rPr>
        <w:t xml:space="preserve"> with its seat in </w:t>
      </w:r>
      <w:proofErr w:type="spellStart"/>
      <w:r w:rsidRPr="00EA2734">
        <w:rPr>
          <w:sz w:val="20"/>
          <w:szCs w:val="20"/>
          <w:lang w:val="en-GB"/>
        </w:rPr>
        <w:t>Rzeszów</w:t>
      </w:r>
      <w:proofErr w:type="spellEnd"/>
      <w:r w:rsidRPr="00EA2734">
        <w:rPr>
          <w:sz w:val="20"/>
          <w:szCs w:val="20"/>
          <w:lang w:val="en-GB"/>
        </w:rPr>
        <w:t xml:space="preserve">. The agreement of 22 April 2013 was signed by: </w:t>
      </w:r>
      <w:proofErr w:type="spellStart"/>
      <w:r w:rsidRPr="00EA2734">
        <w:rPr>
          <w:sz w:val="20"/>
          <w:szCs w:val="20"/>
          <w:lang w:val="en-GB"/>
        </w:rPr>
        <w:t>OPTeam</w:t>
      </w:r>
      <w:proofErr w:type="spellEnd"/>
      <w:r w:rsidRPr="00EA2734">
        <w:rPr>
          <w:sz w:val="20"/>
          <w:szCs w:val="20"/>
          <w:lang w:val="en-GB"/>
        </w:rPr>
        <w:t xml:space="preserve"> S.A. as the Surety, -</w:t>
      </w:r>
      <w:proofErr w:type="spellStart"/>
      <w:r w:rsidRPr="00EA2734">
        <w:rPr>
          <w:sz w:val="20"/>
          <w:szCs w:val="20"/>
          <w:lang w:val="en-GB"/>
        </w:rPr>
        <w:t>Kolporter</w:t>
      </w:r>
      <w:proofErr w:type="spellEnd"/>
      <w:r w:rsidRPr="00EA2734">
        <w:rPr>
          <w:sz w:val="20"/>
          <w:szCs w:val="20"/>
          <w:lang w:val="en-GB"/>
        </w:rPr>
        <w:t xml:space="preserve"> Sp. z </w:t>
      </w:r>
      <w:proofErr w:type="spellStart"/>
      <w:r w:rsidRPr="00EA2734">
        <w:rPr>
          <w:sz w:val="20"/>
          <w:szCs w:val="20"/>
          <w:lang w:val="en-GB"/>
        </w:rPr>
        <w:t>o.o</w:t>
      </w:r>
      <w:proofErr w:type="spellEnd"/>
      <w:r w:rsidRPr="00EA2734">
        <w:rPr>
          <w:sz w:val="20"/>
          <w:szCs w:val="20"/>
          <w:lang w:val="en-GB"/>
        </w:rPr>
        <w:t xml:space="preserve">. </w:t>
      </w:r>
      <w:proofErr w:type="spellStart"/>
      <w:r w:rsidRPr="00EA2734">
        <w:rPr>
          <w:sz w:val="20"/>
          <w:szCs w:val="20"/>
          <w:lang w:val="en-GB"/>
        </w:rPr>
        <w:t>spółka</w:t>
      </w:r>
      <w:proofErr w:type="spellEnd"/>
      <w:r w:rsidRPr="00EA2734">
        <w:rPr>
          <w:sz w:val="20"/>
          <w:szCs w:val="20"/>
          <w:lang w:val="en-GB"/>
        </w:rPr>
        <w:t xml:space="preserve"> </w:t>
      </w:r>
      <w:proofErr w:type="spellStart"/>
      <w:r w:rsidRPr="00EA2734">
        <w:rPr>
          <w:sz w:val="20"/>
          <w:szCs w:val="20"/>
          <w:lang w:val="en-GB"/>
        </w:rPr>
        <w:t>komandytowo-akcyjna</w:t>
      </w:r>
      <w:proofErr w:type="spellEnd"/>
      <w:r w:rsidRPr="00EA2734">
        <w:rPr>
          <w:sz w:val="20"/>
          <w:szCs w:val="20"/>
          <w:lang w:val="en-GB"/>
        </w:rPr>
        <w:t xml:space="preserve"> (limited joint-stock partnership, formerly </w:t>
      </w:r>
      <w:proofErr w:type="spellStart"/>
      <w:r w:rsidRPr="00EA2734">
        <w:rPr>
          <w:sz w:val="20"/>
          <w:szCs w:val="20"/>
          <w:lang w:val="en-GB"/>
        </w:rPr>
        <w:t>Kolporter</w:t>
      </w:r>
      <w:proofErr w:type="spellEnd"/>
      <w:r w:rsidRPr="00EA2734">
        <w:rPr>
          <w:sz w:val="20"/>
          <w:szCs w:val="20"/>
          <w:lang w:val="en-GB"/>
        </w:rPr>
        <w:t xml:space="preserve"> S.A.) with its seat in Kielce – acting as the Seller, Centre of Electronic Clearance Polish </w:t>
      </w:r>
      <w:proofErr w:type="spellStart"/>
      <w:r w:rsidRPr="00EA2734">
        <w:rPr>
          <w:sz w:val="20"/>
          <w:szCs w:val="20"/>
          <w:lang w:val="en-GB"/>
        </w:rPr>
        <w:t>ePayment</w:t>
      </w:r>
      <w:proofErr w:type="spellEnd"/>
      <w:r w:rsidRPr="00EA2734">
        <w:rPr>
          <w:sz w:val="20"/>
          <w:szCs w:val="20"/>
          <w:lang w:val="en-GB"/>
        </w:rPr>
        <w:t xml:space="preserve"> with its seat in </w:t>
      </w:r>
      <w:proofErr w:type="spellStart"/>
      <w:r w:rsidRPr="00EA2734">
        <w:rPr>
          <w:sz w:val="20"/>
          <w:szCs w:val="20"/>
          <w:lang w:val="en-GB"/>
        </w:rPr>
        <w:t>Rzeszów</w:t>
      </w:r>
      <w:proofErr w:type="spellEnd"/>
      <w:r w:rsidRPr="00EA2734">
        <w:rPr>
          <w:sz w:val="20"/>
          <w:szCs w:val="20"/>
          <w:lang w:val="en-GB"/>
        </w:rPr>
        <w:t xml:space="preserve"> (hereinafter Polish </w:t>
      </w:r>
      <w:proofErr w:type="spellStart"/>
      <w:r w:rsidRPr="00EA2734">
        <w:rPr>
          <w:sz w:val="20"/>
          <w:szCs w:val="20"/>
          <w:lang w:val="en-GB"/>
        </w:rPr>
        <w:t>ePayment</w:t>
      </w:r>
      <w:proofErr w:type="spellEnd"/>
      <w:r w:rsidRPr="00EA2734">
        <w:rPr>
          <w:sz w:val="20"/>
          <w:szCs w:val="20"/>
          <w:lang w:val="en-GB"/>
        </w:rPr>
        <w:t xml:space="preserve"> SA) – acting as the Buyer. By signing the surety agreement, the Issuer has consented to guarantee the timely and complete repayment of the Buyer’s liabilities, which may arise out of the open-ended cooperation agreement concluded between the Buyer and the Seller. The above-mentioned cooperation agreement involves the Seller providing goods to the Buyer for a fee. The surety includes the Buyer’s future debt to the Seller in the full amount up to 7 000 000 zlotys (in words: seven million). The surety is interim and shall expire 12 months after the maturity date of the final invoice issued during the term of the cooperation agreement between the Seller and the Buyer.</w:t>
      </w:r>
    </w:p>
    <w:p w14:paraId="1BAA1B4F" w14:textId="41034B27" w:rsidR="00D541B6" w:rsidRPr="00EA2734" w:rsidRDefault="002F0872" w:rsidP="00D541B6">
      <w:pPr>
        <w:spacing w:before="120" w:line="276" w:lineRule="auto"/>
        <w:jc w:val="both"/>
        <w:rPr>
          <w:rFonts w:ascii="Arial Narrow" w:hAnsi="Arial Narrow" w:cs="Arial Narrow"/>
          <w:sz w:val="20"/>
          <w:szCs w:val="20"/>
          <w:lang w:val="en-GB"/>
        </w:rPr>
      </w:pPr>
      <w:r w:rsidRPr="00EA2734">
        <w:rPr>
          <w:rFonts w:ascii="Arial Narrow" w:hAnsi="Arial Narrow" w:cs="Arial Narrow"/>
          <w:sz w:val="20"/>
          <w:szCs w:val="20"/>
          <w:lang w:val="en-GB"/>
        </w:rPr>
        <w:t xml:space="preserve">On 19 May 2016 </w:t>
      </w:r>
      <w:proofErr w:type="spellStart"/>
      <w:r w:rsidRPr="00EA2734">
        <w:rPr>
          <w:rFonts w:ascii="Arial Narrow" w:hAnsi="Arial Narrow" w:cs="Arial Narrow"/>
          <w:sz w:val="20"/>
          <w:szCs w:val="20"/>
          <w:lang w:val="en-GB"/>
        </w:rPr>
        <w:t>OPTeam</w:t>
      </w:r>
      <w:proofErr w:type="spellEnd"/>
      <w:r w:rsidRPr="00EA2734">
        <w:rPr>
          <w:rFonts w:ascii="Arial Narrow" w:hAnsi="Arial Narrow" w:cs="Arial Narrow"/>
          <w:sz w:val="20"/>
          <w:szCs w:val="20"/>
          <w:lang w:val="en-GB"/>
        </w:rPr>
        <w:t xml:space="preserve"> SA as a Surety  and </w:t>
      </w:r>
      <w:proofErr w:type="spellStart"/>
      <w:r w:rsidRPr="00EA2734">
        <w:rPr>
          <w:rFonts w:ascii="Arial Narrow" w:hAnsi="Arial Narrow" w:cs="Arial Narrow"/>
          <w:sz w:val="20"/>
          <w:szCs w:val="20"/>
          <w:lang w:val="en-GB"/>
        </w:rPr>
        <w:t>Kolporter</w:t>
      </w:r>
      <w:proofErr w:type="spellEnd"/>
      <w:r w:rsidRPr="00EA2734">
        <w:rPr>
          <w:rFonts w:ascii="Arial Narrow" w:hAnsi="Arial Narrow" w:cs="Arial Narrow"/>
          <w:sz w:val="20"/>
          <w:szCs w:val="20"/>
          <w:lang w:val="en-GB"/>
        </w:rPr>
        <w:t xml:space="preserve"> Sp. z </w:t>
      </w:r>
      <w:proofErr w:type="spellStart"/>
      <w:r w:rsidRPr="00EA2734">
        <w:rPr>
          <w:rFonts w:ascii="Arial Narrow" w:hAnsi="Arial Narrow" w:cs="Arial Narrow"/>
          <w:sz w:val="20"/>
          <w:szCs w:val="20"/>
          <w:lang w:val="en-GB"/>
        </w:rPr>
        <w:t>o.o</w:t>
      </w:r>
      <w:proofErr w:type="spellEnd"/>
      <w:r w:rsidRPr="00EA2734">
        <w:rPr>
          <w:rFonts w:ascii="Arial Narrow" w:hAnsi="Arial Narrow" w:cs="Arial Narrow"/>
          <w:sz w:val="20"/>
          <w:szCs w:val="20"/>
          <w:lang w:val="en-GB"/>
        </w:rPr>
        <w:t xml:space="preserve">. </w:t>
      </w:r>
      <w:proofErr w:type="spellStart"/>
      <w:r w:rsidRPr="00EA2734">
        <w:rPr>
          <w:rFonts w:ascii="Arial Narrow" w:hAnsi="Arial Narrow" w:cs="Arial Narrow"/>
          <w:sz w:val="20"/>
          <w:szCs w:val="20"/>
          <w:lang w:val="en-GB"/>
        </w:rPr>
        <w:t>spółka</w:t>
      </w:r>
      <w:proofErr w:type="spellEnd"/>
      <w:r w:rsidRPr="00EA2734">
        <w:rPr>
          <w:rFonts w:ascii="Arial Narrow" w:hAnsi="Arial Narrow" w:cs="Arial Narrow"/>
          <w:sz w:val="20"/>
          <w:szCs w:val="20"/>
          <w:lang w:val="en-GB"/>
        </w:rPr>
        <w:t xml:space="preserve"> </w:t>
      </w:r>
      <w:proofErr w:type="spellStart"/>
      <w:r w:rsidRPr="00EA2734">
        <w:rPr>
          <w:rFonts w:ascii="Arial Narrow" w:hAnsi="Arial Narrow" w:cs="Arial Narrow"/>
          <w:sz w:val="20"/>
          <w:szCs w:val="20"/>
          <w:lang w:val="en-GB"/>
        </w:rPr>
        <w:t>k.a</w:t>
      </w:r>
      <w:proofErr w:type="spellEnd"/>
      <w:r w:rsidRPr="00EA2734">
        <w:rPr>
          <w:rFonts w:ascii="Arial Narrow" w:hAnsi="Arial Narrow" w:cs="Arial Narrow"/>
          <w:sz w:val="20"/>
          <w:szCs w:val="20"/>
          <w:lang w:val="en-GB"/>
        </w:rPr>
        <w:t xml:space="preserve">.  with its seat in Kielce – acting in the agreement as a Seller, signed a surety agreement up to the amount of PLN 3 000 000, which constitutes an additional security granted by </w:t>
      </w:r>
      <w:proofErr w:type="spellStart"/>
      <w:r w:rsidRPr="00EA2734">
        <w:rPr>
          <w:rFonts w:ascii="Arial Narrow" w:hAnsi="Arial Narrow" w:cs="Arial Narrow"/>
          <w:sz w:val="20"/>
          <w:szCs w:val="20"/>
          <w:lang w:val="en-GB"/>
        </w:rPr>
        <w:t>OPTeam</w:t>
      </w:r>
      <w:proofErr w:type="spellEnd"/>
      <w:r w:rsidRPr="00EA2734">
        <w:rPr>
          <w:rFonts w:ascii="Arial Narrow" w:hAnsi="Arial Narrow" w:cs="Arial Narrow"/>
          <w:sz w:val="20"/>
          <w:szCs w:val="20"/>
          <w:lang w:val="en-GB"/>
        </w:rPr>
        <w:t xml:space="preserve">, next to the surety granted by </w:t>
      </w:r>
      <w:proofErr w:type="spellStart"/>
      <w:r w:rsidRPr="00EA2734">
        <w:rPr>
          <w:rFonts w:ascii="Arial Narrow" w:hAnsi="Arial Narrow" w:cs="Arial Narrow"/>
          <w:sz w:val="20"/>
          <w:szCs w:val="20"/>
          <w:lang w:val="en-GB"/>
        </w:rPr>
        <w:t>OPTeam</w:t>
      </w:r>
      <w:proofErr w:type="spellEnd"/>
      <w:r w:rsidRPr="00EA2734">
        <w:rPr>
          <w:rFonts w:ascii="Arial Narrow" w:hAnsi="Arial Narrow" w:cs="Arial Narrow"/>
          <w:sz w:val="20"/>
          <w:szCs w:val="20"/>
          <w:lang w:val="en-GB"/>
        </w:rPr>
        <w:t xml:space="preserve"> pursuant to the agreement concluded on 22 April 2013 between </w:t>
      </w:r>
      <w:proofErr w:type="spellStart"/>
      <w:r w:rsidRPr="00EA2734">
        <w:rPr>
          <w:rFonts w:ascii="Arial Narrow" w:hAnsi="Arial Narrow" w:cs="Arial Narrow"/>
          <w:sz w:val="20"/>
          <w:szCs w:val="20"/>
          <w:lang w:val="en-GB"/>
        </w:rPr>
        <w:t>Kolporter</w:t>
      </w:r>
      <w:proofErr w:type="spellEnd"/>
      <w:r w:rsidRPr="00EA2734">
        <w:rPr>
          <w:rFonts w:ascii="Arial Narrow" w:hAnsi="Arial Narrow" w:cs="Arial Narrow"/>
          <w:sz w:val="20"/>
          <w:szCs w:val="20"/>
          <w:lang w:val="en-GB"/>
        </w:rPr>
        <w:t xml:space="preserve"> and </w:t>
      </w:r>
      <w:proofErr w:type="spellStart"/>
      <w:r w:rsidRPr="00EA2734">
        <w:rPr>
          <w:rFonts w:ascii="Arial Narrow" w:hAnsi="Arial Narrow" w:cs="Arial Narrow"/>
          <w:sz w:val="20"/>
          <w:szCs w:val="20"/>
          <w:lang w:val="en-GB"/>
        </w:rPr>
        <w:t>OPTeam</w:t>
      </w:r>
      <w:proofErr w:type="spellEnd"/>
      <w:r w:rsidRPr="00EA2734">
        <w:rPr>
          <w:rFonts w:ascii="Arial Narrow" w:hAnsi="Arial Narrow" w:cs="Arial Narrow"/>
          <w:sz w:val="20"/>
          <w:szCs w:val="20"/>
          <w:lang w:val="en-GB"/>
        </w:rPr>
        <w:t xml:space="preserve"> and Centre of Electronic Clearance Polish </w:t>
      </w:r>
      <w:proofErr w:type="spellStart"/>
      <w:r w:rsidRPr="00EA2734">
        <w:rPr>
          <w:rFonts w:ascii="Arial Narrow" w:hAnsi="Arial Narrow" w:cs="Arial Narrow"/>
          <w:sz w:val="20"/>
          <w:szCs w:val="20"/>
          <w:lang w:val="en-GB"/>
        </w:rPr>
        <w:t>ePayment</w:t>
      </w:r>
      <w:proofErr w:type="spellEnd"/>
      <w:r w:rsidRPr="00EA2734">
        <w:rPr>
          <w:rFonts w:ascii="Arial Narrow" w:hAnsi="Arial Narrow" w:cs="Arial Narrow"/>
          <w:sz w:val="20"/>
          <w:szCs w:val="20"/>
          <w:lang w:val="en-GB"/>
        </w:rPr>
        <w:t xml:space="preserve"> up to the amount of PLN 7 000 000 (in words: seven million zlotys).</w:t>
      </w:r>
    </w:p>
    <w:p w14:paraId="67E667C9" w14:textId="77777777" w:rsidR="00D541B6" w:rsidRPr="00EA2734" w:rsidRDefault="00D541B6" w:rsidP="00D541B6">
      <w:pPr>
        <w:spacing w:line="276" w:lineRule="auto"/>
        <w:jc w:val="both"/>
        <w:rPr>
          <w:rFonts w:ascii="Arial Narrow" w:hAnsi="Arial Narrow" w:cs="Arial Narrow"/>
          <w:lang w:val="en-G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992"/>
        <w:gridCol w:w="1198"/>
        <w:gridCol w:w="1212"/>
        <w:gridCol w:w="1843"/>
      </w:tblGrid>
      <w:tr w:rsidR="00D541B6" w:rsidRPr="00EA2734" w14:paraId="47EAE6F6" w14:textId="77777777" w:rsidTr="002A6C67">
        <w:trPr>
          <w:trHeight w:val="510"/>
        </w:trPr>
        <w:tc>
          <w:tcPr>
            <w:tcW w:w="4111" w:type="dxa"/>
            <w:shd w:val="clear" w:color="auto" w:fill="606060"/>
            <w:noWrap/>
            <w:vAlign w:val="center"/>
          </w:tcPr>
          <w:p w14:paraId="21E84464" w14:textId="1B6159F1" w:rsidR="00D541B6" w:rsidRPr="00EA2734" w:rsidRDefault="002F0872" w:rsidP="00EE3BFD">
            <w:pPr>
              <w:jc w:val="center"/>
              <w:rPr>
                <w:rFonts w:ascii="Arial Narrow" w:hAnsi="Arial Narrow" w:cs="Arial"/>
                <w:b/>
                <w:color w:val="FFFFFF"/>
                <w:sz w:val="20"/>
                <w:szCs w:val="20"/>
                <w:lang w:val="en-GB"/>
              </w:rPr>
            </w:pPr>
            <w:r w:rsidRPr="00EA2734">
              <w:rPr>
                <w:rFonts w:ascii="Arial Narrow" w:hAnsi="Arial Narrow" w:cs="Arial"/>
                <w:b/>
                <w:color w:val="FFFFFF"/>
                <w:sz w:val="20"/>
                <w:szCs w:val="20"/>
                <w:lang w:val="en-GB"/>
              </w:rPr>
              <w:t>Entity</w:t>
            </w:r>
          </w:p>
        </w:tc>
        <w:tc>
          <w:tcPr>
            <w:tcW w:w="992" w:type="dxa"/>
            <w:shd w:val="clear" w:color="auto" w:fill="606060"/>
            <w:noWrap/>
            <w:vAlign w:val="center"/>
          </w:tcPr>
          <w:p w14:paraId="66948692" w14:textId="77777777" w:rsidR="00D541B6" w:rsidRPr="00EA2734" w:rsidRDefault="00D541B6" w:rsidP="00EE3BFD">
            <w:pPr>
              <w:jc w:val="center"/>
              <w:rPr>
                <w:rFonts w:ascii="Arial Narrow" w:hAnsi="Arial Narrow" w:cs="Arial"/>
                <w:b/>
                <w:color w:val="FFFFFF"/>
                <w:sz w:val="20"/>
                <w:szCs w:val="20"/>
                <w:lang w:val="en-GB"/>
              </w:rPr>
            </w:pPr>
            <w:proofErr w:type="spellStart"/>
            <w:r w:rsidRPr="00EA2734">
              <w:rPr>
                <w:rFonts w:ascii="Arial Narrow" w:hAnsi="Arial Narrow" w:cs="Arial"/>
                <w:b/>
                <w:color w:val="FFFFFF"/>
                <w:sz w:val="20"/>
                <w:szCs w:val="20"/>
                <w:lang w:val="en-GB"/>
              </w:rPr>
              <w:t>Regon</w:t>
            </w:r>
            <w:proofErr w:type="spellEnd"/>
          </w:p>
        </w:tc>
        <w:tc>
          <w:tcPr>
            <w:tcW w:w="1198" w:type="dxa"/>
            <w:shd w:val="clear" w:color="auto" w:fill="606060"/>
            <w:noWrap/>
            <w:vAlign w:val="center"/>
          </w:tcPr>
          <w:p w14:paraId="6AFB6B80" w14:textId="02972DD4" w:rsidR="00D541B6" w:rsidRPr="00EA2734" w:rsidRDefault="002F0872" w:rsidP="00EE3BFD">
            <w:pPr>
              <w:jc w:val="center"/>
              <w:rPr>
                <w:rFonts w:ascii="Arial Narrow" w:hAnsi="Arial Narrow" w:cs="Arial"/>
                <w:b/>
                <w:color w:val="FFFFFF"/>
                <w:sz w:val="20"/>
                <w:szCs w:val="20"/>
                <w:lang w:val="en-GB"/>
              </w:rPr>
            </w:pPr>
            <w:r w:rsidRPr="00EA2734">
              <w:rPr>
                <w:rFonts w:ascii="Arial Narrow" w:hAnsi="Arial Narrow" w:cs="Arial"/>
                <w:b/>
                <w:color w:val="FFFFFF"/>
                <w:sz w:val="20"/>
                <w:szCs w:val="20"/>
                <w:lang w:val="en-GB"/>
              </w:rPr>
              <w:t>Type of liability</w:t>
            </w:r>
          </w:p>
        </w:tc>
        <w:tc>
          <w:tcPr>
            <w:tcW w:w="1212" w:type="dxa"/>
            <w:shd w:val="clear" w:color="auto" w:fill="606060"/>
            <w:vAlign w:val="center"/>
          </w:tcPr>
          <w:p w14:paraId="4A57ECE2" w14:textId="4A8A1CE3" w:rsidR="00D541B6" w:rsidRPr="00EA2734" w:rsidRDefault="002F0872" w:rsidP="00EE3BFD">
            <w:pPr>
              <w:jc w:val="center"/>
              <w:rPr>
                <w:rFonts w:ascii="Arial Narrow" w:hAnsi="Arial Narrow" w:cs="Arial"/>
                <w:b/>
                <w:color w:val="FFFFFF"/>
                <w:sz w:val="20"/>
                <w:szCs w:val="20"/>
                <w:lang w:val="en-GB"/>
              </w:rPr>
            </w:pPr>
            <w:r w:rsidRPr="00EA2734">
              <w:rPr>
                <w:rFonts w:ascii="Arial Narrow" w:hAnsi="Arial Narrow" w:cs="Arial"/>
                <w:b/>
                <w:color w:val="FFFFFF"/>
                <w:sz w:val="20"/>
                <w:szCs w:val="20"/>
                <w:lang w:val="en-GB"/>
              </w:rPr>
              <w:t>Amount of liability</w:t>
            </w:r>
            <w:r w:rsidR="00D541B6" w:rsidRPr="00EA2734">
              <w:rPr>
                <w:rFonts w:ascii="Arial Narrow" w:hAnsi="Arial Narrow" w:cs="Arial"/>
                <w:b/>
                <w:color w:val="FFFFFF"/>
                <w:sz w:val="20"/>
                <w:szCs w:val="20"/>
                <w:lang w:val="en-GB"/>
              </w:rPr>
              <w:br/>
              <w:t xml:space="preserve"> ( PLN)</w:t>
            </w:r>
          </w:p>
        </w:tc>
        <w:tc>
          <w:tcPr>
            <w:tcW w:w="1843" w:type="dxa"/>
            <w:shd w:val="clear" w:color="auto" w:fill="606060"/>
            <w:noWrap/>
            <w:vAlign w:val="center"/>
          </w:tcPr>
          <w:p w14:paraId="50492E5A" w14:textId="77777777" w:rsidR="00D541B6" w:rsidRPr="00EA2734" w:rsidRDefault="002F0872" w:rsidP="00EE3BFD">
            <w:pPr>
              <w:jc w:val="center"/>
              <w:rPr>
                <w:rFonts w:ascii="Arial Narrow" w:hAnsi="Arial Narrow" w:cs="Arial"/>
                <w:b/>
                <w:color w:val="FFFFFF"/>
                <w:sz w:val="20"/>
                <w:szCs w:val="20"/>
                <w:lang w:val="en-GB"/>
              </w:rPr>
            </w:pPr>
            <w:r w:rsidRPr="00EA2734">
              <w:rPr>
                <w:rFonts w:ascii="Arial Narrow" w:hAnsi="Arial Narrow" w:cs="Arial"/>
                <w:b/>
                <w:color w:val="FFFFFF"/>
                <w:sz w:val="20"/>
                <w:szCs w:val="20"/>
                <w:lang w:val="en-GB"/>
              </w:rPr>
              <w:t xml:space="preserve">Term of surety </w:t>
            </w:r>
          </w:p>
          <w:p w14:paraId="2A277CC9" w14:textId="54085D81" w:rsidR="002F0872" w:rsidRPr="00EA2734" w:rsidRDefault="002F0872" w:rsidP="00EE3BFD">
            <w:pPr>
              <w:jc w:val="center"/>
              <w:rPr>
                <w:rFonts w:ascii="Arial Narrow" w:hAnsi="Arial Narrow" w:cs="Arial"/>
                <w:b/>
                <w:color w:val="FFFFFF"/>
                <w:sz w:val="20"/>
                <w:szCs w:val="20"/>
                <w:lang w:val="en-GB"/>
              </w:rPr>
            </w:pPr>
            <w:r w:rsidRPr="00EA2734">
              <w:rPr>
                <w:rFonts w:ascii="Arial Narrow" w:hAnsi="Arial Narrow" w:cs="Arial"/>
                <w:b/>
                <w:color w:val="FFFFFF"/>
                <w:sz w:val="20"/>
                <w:szCs w:val="20"/>
                <w:lang w:val="en-GB"/>
              </w:rPr>
              <w:t>From-to</w:t>
            </w:r>
          </w:p>
        </w:tc>
      </w:tr>
      <w:tr w:rsidR="00D541B6" w:rsidRPr="00EA2734" w14:paraId="49A2A269" w14:textId="77777777" w:rsidTr="002A6C67">
        <w:trPr>
          <w:trHeight w:val="1709"/>
        </w:trPr>
        <w:tc>
          <w:tcPr>
            <w:tcW w:w="4111" w:type="dxa"/>
            <w:vAlign w:val="center"/>
          </w:tcPr>
          <w:p w14:paraId="5C56BF3B" w14:textId="13987A53" w:rsidR="00D541B6" w:rsidRPr="00EA2734" w:rsidRDefault="002F0872" w:rsidP="00EE3BFD">
            <w:pPr>
              <w:jc w:val="both"/>
              <w:rPr>
                <w:rFonts w:ascii="Arial Narrow" w:hAnsi="Arial Narrow" w:cs="Arial"/>
                <w:sz w:val="20"/>
                <w:szCs w:val="20"/>
                <w:lang w:val="en-GB"/>
              </w:rPr>
            </w:pPr>
            <w:r w:rsidRPr="00EA2734">
              <w:rPr>
                <w:rFonts w:ascii="Arial Narrow" w:hAnsi="Arial Narrow" w:cs="Arial"/>
                <w:sz w:val="20"/>
                <w:szCs w:val="20"/>
                <w:lang w:val="en-GB"/>
              </w:rPr>
              <w:t xml:space="preserve">Centre of Electronic Clearance Polish </w:t>
            </w:r>
            <w:proofErr w:type="spellStart"/>
            <w:r w:rsidRPr="00EA2734">
              <w:rPr>
                <w:rFonts w:ascii="Arial Narrow" w:hAnsi="Arial Narrow" w:cs="Arial"/>
                <w:sz w:val="20"/>
                <w:szCs w:val="20"/>
                <w:lang w:val="en-GB"/>
              </w:rPr>
              <w:t>ePayment</w:t>
            </w:r>
            <w:proofErr w:type="spellEnd"/>
            <w:r w:rsidRPr="00EA2734">
              <w:rPr>
                <w:rFonts w:ascii="Arial Narrow" w:hAnsi="Arial Narrow" w:cs="Arial"/>
                <w:sz w:val="20"/>
                <w:szCs w:val="20"/>
                <w:lang w:val="en-GB"/>
              </w:rPr>
              <w:t xml:space="preserve"> with its seat in </w:t>
            </w:r>
            <w:proofErr w:type="spellStart"/>
            <w:r w:rsidRPr="00EA2734">
              <w:rPr>
                <w:rFonts w:ascii="Arial Narrow" w:hAnsi="Arial Narrow" w:cs="Arial"/>
                <w:sz w:val="20"/>
                <w:szCs w:val="20"/>
                <w:lang w:val="en-GB"/>
              </w:rPr>
              <w:t>Rzeszów</w:t>
            </w:r>
            <w:proofErr w:type="spellEnd"/>
            <w:r w:rsidRPr="00EA2734">
              <w:rPr>
                <w:rFonts w:ascii="Arial Narrow" w:hAnsi="Arial Narrow" w:cs="Arial"/>
                <w:sz w:val="20"/>
                <w:szCs w:val="20"/>
                <w:lang w:val="en-GB"/>
              </w:rPr>
              <w:t xml:space="preserve"> – security for the payment of debt to </w:t>
            </w:r>
            <w:proofErr w:type="spellStart"/>
            <w:r w:rsidRPr="00EA2734">
              <w:rPr>
                <w:rFonts w:ascii="Arial Narrow" w:hAnsi="Arial Narrow" w:cs="Arial"/>
                <w:b/>
                <w:sz w:val="20"/>
                <w:szCs w:val="20"/>
                <w:lang w:val="en-GB"/>
              </w:rPr>
              <w:t>Kolporter</w:t>
            </w:r>
            <w:proofErr w:type="spellEnd"/>
            <w:r w:rsidRPr="00EA2734">
              <w:rPr>
                <w:rFonts w:ascii="Arial Narrow" w:hAnsi="Arial Narrow" w:cs="Arial"/>
                <w:b/>
                <w:sz w:val="20"/>
                <w:szCs w:val="20"/>
                <w:lang w:val="en-GB"/>
              </w:rPr>
              <w:t xml:space="preserve"> Sp. z </w:t>
            </w:r>
            <w:proofErr w:type="spellStart"/>
            <w:r w:rsidRPr="00EA2734">
              <w:rPr>
                <w:rFonts w:ascii="Arial Narrow" w:hAnsi="Arial Narrow" w:cs="Arial"/>
                <w:b/>
                <w:sz w:val="20"/>
                <w:szCs w:val="20"/>
                <w:lang w:val="en-GB"/>
              </w:rPr>
              <w:t>o.o</w:t>
            </w:r>
            <w:proofErr w:type="spellEnd"/>
            <w:r w:rsidRPr="00EA2734">
              <w:rPr>
                <w:rFonts w:ascii="Arial Narrow" w:hAnsi="Arial Narrow" w:cs="Arial"/>
                <w:sz w:val="20"/>
                <w:szCs w:val="20"/>
                <w:lang w:val="en-GB"/>
              </w:rPr>
              <w:t xml:space="preserve">. </w:t>
            </w:r>
            <w:proofErr w:type="spellStart"/>
            <w:r w:rsidRPr="00EA2734">
              <w:rPr>
                <w:rFonts w:ascii="Arial Narrow" w:hAnsi="Arial Narrow" w:cs="Arial"/>
                <w:sz w:val="20"/>
                <w:szCs w:val="20"/>
                <w:lang w:val="en-GB"/>
              </w:rPr>
              <w:t>Spółka</w:t>
            </w:r>
            <w:proofErr w:type="spellEnd"/>
            <w:r w:rsidRPr="00EA2734">
              <w:rPr>
                <w:rFonts w:ascii="Arial Narrow" w:hAnsi="Arial Narrow" w:cs="Arial"/>
                <w:sz w:val="20"/>
                <w:szCs w:val="20"/>
                <w:lang w:val="en-GB"/>
              </w:rPr>
              <w:t xml:space="preserve"> </w:t>
            </w:r>
            <w:proofErr w:type="spellStart"/>
            <w:r w:rsidRPr="00EA2734">
              <w:rPr>
                <w:rFonts w:ascii="Arial Narrow" w:hAnsi="Arial Narrow" w:cs="Arial"/>
                <w:sz w:val="20"/>
                <w:szCs w:val="20"/>
                <w:lang w:val="en-GB"/>
              </w:rPr>
              <w:t>komandytowo-akcyjna</w:t>
            </w:r>
            <w:proofErr w:type="spellEnd"/>
            <w:r w:rsidRPr="00EA2734">
              <w:rPr>
                <w:rFonts w:ascii="Arial Narrow" w:hAnsi="Arial Narrow" w:cs="Arial"/>
                <w:sz w:val="20"/>
                <w:szCs w:val="20"/>
                <w:lang w:val="en-GB"/>
              </w:rPr>
              <w:t xml:space="preserve">, under goods supply agreement for </w:t>
            </w:r>
            <w:proofErr w:type="spellStart"/>
            <w:r w:rsidRPr="00EA2734">
              <w:rPr>
                <w:rFonts w:ascii="Arial Narrow" w:hAnsi="Arial Narrow" w:cs="Arial"/>
                <w:sz w:val="20"/>
                <w:szCs w:val="20"/>
                <w:lang w:val="en-GB"/>
              </w:rPr>
              <w:t>PeP</w:t>
            </w:r>
            <w:proofErr w:type="spellEnd"/>
            <w:r w:rsidRPr="00EA2734">
              <w:rPr>
                <w:rFonts w:ascii="Arial Narrow" w:hAnsi="Arial Narrow" w:cs="Arial"/>
                <w:sz w:val="20"/>
                <w:szCs w:val="20"/>
                <w:lang w:val="en-GB"/>
              </w:rPr>
              <w:t>, concluded on 25.10.2010.</w:t>
            </w:r>
          </w:p>
        </w:tc>
        <w:tc>
          <w:tcPr>
            <w:tcW w:w="992" w:type="dxa"/>
            <w:vAlign w:val="center"/>
          </w:tcPr>
          <w:p w14:paraId="06F332FF" w14:textId="77777777" w:rsidR="00D541B6" w:rsidRPr="00EA2734" w:rsidRDefault="00D541B6" w:rsidP="00EE3BFD">
            <w:pPr>
              <w:jc w:val="center"/>
              <w:rPr>
                <w:rFonts w:ascii="Arial Narrow" w:hAnsi="Arial Narrow" w:cs="Arial"/>
                <w:sz w:val="20"/>
                <w:szCs w:val="20"/>
                <w:lang w:val="en-GB"/>
              </w:rPr>
            </w:pPr>
            <w:r w:rsidRPr="00EA2734">
              <w:rPr>
                <w:rFonts w:ascii="Arial Narrow" w:hAnsi="Arial Narrow" w:cs="Arial"/>
                <w:sz w:val="20"/>
                <w:szCs w:val="20"/>
                <w:lang w:val="en-GB"/>
              </w:rPr>
              <w:t>180523400</w:t>
            </w:r>
          </w:p>
        </w:tc>
        <w:tc>
          <w:tcPr>
            <w:tcW w:w="1198" w:type="dxa"/>
            <w:shd w:val="clear" w:color="auto" w:fill="auto"/>
            <w:vAlign w:val="center"/>
          </w:tcPr>
          <w:p w14:paraId="3AF81E14" w14:textId="6964A61A" w:rsidR="00D541B6" w:rsidRPr="00EA2734" w:rsidRDefault="00537802" w:rsidP="00EE3BFD">
            <w:pPr>
              <w:jc w:val="center"/>
              <w:rPr>
                <w:rFonts w:ascii="Arial Narrow" w:hAnsi="Arial Narrow" w:cs="Arial"/>
                <w:color w:val="FF0000"/>
                <w:sz w:val="20"/>
                <w:szCs w:val="20"/>
                <w:lang w:val="en-GB"/>
              </w:rPr>
            </w:pPr>
            <w:r w:rsidRPr="00EA2734">
              <w:rPr>
                <w:rFonts w:ascii="Arial Narrow" w:hAnsi="Arial Narrow" w:cs="Arial"/>
                <w:sz w:val="20"/>
                <w:szCs w:val="20"/>
                <w:lang w:val="en-GB"/>
              </w:rPr>
              <w:t>guarantee of liabiliti</w:t>
            </w:r>
            <w:r w:rsidR="002F0872" w:rsidRPr="00EA2734">
              <w:rPr>
                <w:rFonts w:ascii="Arial Narrow" w:hAnsi="Arial Narrow" w:cs="Arial"/>
                <w:sz w:val="20"/>
                <w:szCs w:val="20"/>
                <w:lang w:val="en-GB"/>
              </w:rPr>
              <w:t>es</w:t>
            </w:r>
          </w:p>
          <w:p w14:paraId="5BA6BD01" w14:textId="77777777" w:rsidR="00D541B6" w:rsidRPr="00EA2734" w:rsidRDefault="00D541B6" w:rsidP="00EE3BFD">
            <w:pPr>
              <w:jc w:val="center"/>
              <w:rPr>
                <w:rFonts w:ascii="Arial Narrow" w:hAnsi="Arial Narrow" w:cs="Arial"/>
                <w:sz w:val="20"/>
                <w:szCs w:val="20"/>
                <w:lang w:val="en-GB"/>
              </w:rPr>
            </w:pPr>
          </w:p>
        </w:tc>
        <w:tc>
          <w:tcPr>
            <w:tcW w:w="1212" w:type="dxa"/>
            <w:vAlign w:val="center"/>
          </w:tcPr>
          <w:p w14:paraId="26ADC41A" w14:textId="6A684ED1" w:rsidR="00D541B6" w:rsidRPr="00EA2734" w:rsidRDefault="002F0872" w:rsidP="00EE3BFD">
            <w:pPr>
              <w:jc w:val="center"/>
              <w:rPr>
                <w:rFonts w:ascii="Arial Narrow" w:hAnsi="Arial Narrow" w:cs="Arial"/>
                <w:sz w:val="20"/>
                <w:szCs w:val="20"/>
                <w:lang w:val="en-GB"/>
              </w:rPr>
            </w:pPr>
            <w:r w:rsidRPr="00EA2734">
              <w:rPr>
                <w:rFonts w:ascii="Arial Narrow" w:hAnsi="Arial Narrow" w:cs="Arial"/>
                <w:sz w:val="20"/>
                <w:szCs w:val="20"/>
                <w:lang w:val="en-GB"/>
              </w:rPr>
              <w:t>Surety up to PLN</w:t>
            </w:r>
          </w:p>
          <w:p w14:paraId="7348F322" w14:textId="3EA48596" w:rsidR="00D541B6" w:rsidRPr="00EA2734" w:rsidRDefault="00D541B6" w:rsidP="002F0872">
            <w:pPr>
              <w:jc w:val="center"/>
              <w:rPr>
                <w:rFonts w:ascii="Arial Narrow" w:hAnsi="Arial Narrow" w:cs="Arial"/>
                <w:sz w:val="20"/>
                <w:szCs w:val="20"/>
                <w:lang w:val="en-GB"/>
              </w:rPr>
            </w:pPr>
            <w:r w:rsidRPr="00EA2734">
              <w:rPr>
                <w:rFonts w:ascii="Arial Narrow" w:hAnsi="Arial Narrow" w:cs="Arial"/>
                <w:sz w:val="20"/>
                <w:szCs w:val="20"/>
                <w:lang w:val="en-GB"/>
              </w:rPr>
              <w:t xml:space="preserve"> 7 000 000 </w:t>
            </w:r>
          </w:p>
        </w:tc>
        <w:tc>
          <w:tcPr>
            <w:tcW w:w="1843" w:type="dxa"/>
            <w:vAlign w:val="center"/>
          </w:tcPr>
          <w:p w14:paraId="1689B009" w14:textId="3666F355" w:rsidR="002F0872" w:rsidRPr="00EA2734" w:rsidRDefault="002F0872" w:rsidP="00742B9B">
            <w:pPr>
              <w:jc w:val="center"/>
              <w:rPr>
                <w:rFonts w:ascii="Arial Narrow" w:hAnsi="Arial Narrow" w:cs="Arial Narrow"/>
                <w:sz w:val="20"/>
                <w:szCs w:val="20"/>
                <w:lang w:val="en-GB"/>
              </w:rPr>
            </w:pPr>
            <w:r w:rsidRPr="00EA2734">
              <w:rPr>
                <w:rFonts w:ascii="Arial Narrow" w:hAnsi="Arial Narrow" w:cs="Arial Narrow"/>
                <w:sz w:val="20"/>
                <w:szCs w:val="20"/>
                <w:lang w:val="en-GB"/>
              </w:rPr>
              <w:t>From</w:t>
            </w:r>
          </w:p>
          <w:p w14:paraId="3B3303B7" w14:textId="77777777" w:rsidR="002F0872" w:rsidRPr="00EA2734" w:rsidRDefault="002F0872" w:rsidP="00742B9B">
            <w:pPr>
              <w:jc w:val="center"/>
              <w:rPr>
                <w:rFonts w:ascii="Arial Narrow" w:hAnsi="Arial Narrow" w:cs="Arial Narrow"/>
                <w:sz w:val="20"/>
                <w:szCs w:val="20"/>
                <w:lang w:val="en-GB"/>
              </w:rPr>
            </w:pPr>
            <w:r w:rsidRPr="00EA2734">
              <w:rPr>
                <w:rFonts w:ascii="Arial Narrow" w:hAnsi="Arial Narrow" w:cs="Arial Narrow"/>
                <w:sz w:val="20"/>
                <w:szCs w:val="20"/>
                <w:lang w:val="en-GB"/>
              </w:rPr>
              <w:t>22.04.2013 up to 12 months</w:t>
            </w:r>
          </w:p>
          <w:p w14:paraId="2F225108" w14:textId="77777777" w:rsidR="002F0872" w:rsidRPr="00EA2734" w:rsidRDefault="002F0872" w:rsidP="00742B9B">
            <w:pPr>
              <w:jc w:val="center"/>
              <w:rPr>
                <w:rFonts w:ascii="Arial Narrow" w:hAnsi="Arial Narrow" w:cs="Arial Narrow"/>
                <w:sz w:val="20"/>
                <w:szCs w:val="20"/>
                <w:lang w:val="en-GB"/>
              </w:rPr>
            </w:pPr>
            <w:r w:rsidRPr="00EA2734">
              <w:rPr>
                <w:rFonts w:ascii="Arial Narrow" w:hAnsi="Arial Narrow" w:cs="Arial Narrow"/>
                <w:sz w:val="20"/>
                <w:szCs w:val="20"/>
                <w:lang w:val="en-GB"/>
              </w:rPr>
              <w:t>after the due</w:t>
            </w:r>
          </w:p>
          <w:p w14:paraId="528B79AB" w14:textId="77777777" w:rsidR="002F0872" w:rsidRPr="00EA2734" w:rsidRDefault="002F0872" w:rsidP="00742B9B">
            <w:pPr>
              <w:jc w:val="center"/>
              <w:rPr>
                <w:rFonts w:ascii="Arial Narrow" w:hAnsi="Arial Narrow" w:cs="Arial Narrow"/>
                <w:sz w:val="20"/>
                <w:szCs w:val="20"/>
                <w:lang w:val="en-GB"/>
              </w:rPr>
            </w:pPr>
            <w:r w:rsidRPr="00EA2734">
              <w:rPr>
                <w:rFonts w:ascii="Arial Narrow" w:hAnsi="Arial Narrow" w:cs="Arial Narrow"/>
                <w:sz w:val="20"/>
                <w:szCs w:val="20"/>
                <w:lang w:val="en-GB"/>
              </w:rPr>
              <w:t>date of the final</w:t>
            </w:r>
          </w:p>
          <w:p w14:paraId="4BC78630" w14:textId="77777777" w:rsidR="002F0872" w:rsidRPr="00EA2734" w:rsidRDefault="002F0872" w:rsidP="00742B9B">
            <w:pPr>
              <w:jc w:val="center"/>
              <w:rPr>
                <w:rFonts w:ascii="Arial Narrow" w:hAnsi="Arial Narrow" w:cs="Arial Narrow"/>
                <w:sz w:val="20"/>
                <w:szCs w:val="20"/>
                <w:lang w:val="en-GB"/>
              </w:rPr>
            </w:pPr>
            <w:r w:rsidRPr="00EA2734">
              <w:rPr>
                <w:rFonts w:ascii="Arial Narrow" w:hAnsi="Arial Narrow" w:cs="Arial Narrow"/>
                <w:sz w:val="20"/>
                <w:szCs w:val="20"/>
                <w:lang w:val="en-GB"/>
              </w:rPr>
              <w:t>invoice issued</w:t>
            </w:r>
          </w:p>
          <w:p w14:paraId="50A44973" w14:textId="4073BCF3" w:rsidR="00D541B6" w:rsidRPr="00EA2734" w:rsidRDefault="002F0872" w:rsidP="00742B9B">
            <w:pPr>
              <w:jc w:val="center"/>
              <w:rPr>
                <w:rFonts w:ascii="Arial Narrow" w:hAnsi="Arial Narrow" w:cs="Arial"/>
                <w:sz w:val="20"/>
                <w:szCs w:val="20"/>
                <w:lang w:val="en-GB"/>
              </w:rPr>
            </w:pPr>
            <w:r w:rsidRPr="00EA2734">
              <w:rPr>
                <w:rFonts w:ascii="Arial Narrow" w:hAnsi="Arial Narrow" w:cs="Arial Narrow"/>
                <w:sz w:val="20"/>
                <w:szCs w:val="20"/>
                <w:lang w:val="en-GB"/>
              </w:rPr>
              <w:t xml:space="preserve">by </w:t>
            </w:r>
            <w:proofErr w:type="spellStart"/>
            <w:r w:rsidRPr="00EA2734">
              <w:rPr>
                <w:rFonts w:ascii="Arial Narrow" w:hAnsi="Arial Narrow" w:cs="Arial Narrow"/>
                <w:sz w:val="20"/>
                <w:szCs w:val="20"/>
                <w:lang w:val="en-GB"/>
              </w:rPr>
              <w:t>Kolporter</w:t>
            </w:r>
            <w:proofErr w:type="spellEnd"/>
            <w:r w:rsidRPr="00EA2734">
              <w:rPr>
                <w:rFonts w:ascii="Arial Narrow" w:hAnsi="Arial Narrow" w:cs="Arial Narrow"/>
                <w:sz w:val="20"/>
                <w:szCs w:val="20"/>
                <w:lang w:val="en-GB"/>
              </w:rPr>
              <w:t xml:space="preserve"> Sp. z </w:t>
            </w:r>
            <w:proofErr w:type="spellStart"/>
            <w:r w:rsidRPr="00EA2734">
              <w:rPr>
                <w:rFonts w:ascii="Arial Narrow" w:hAnsi="Arial Narrow" w:cs="Arial Narrow"/>
                <w:sz w:val="20"/>
                <w:szCs w:val="20"/>
                <w:lang w:val="en-GB"/>
              </w:rPr>
              <w:t>o.o</w:t>
            </w:r>
            <w:proofErr w:type="spellEnd"/>
            <w:r w:rsidRPr="00EA2734">
              <w:rPr>
                <w:rFonts w:ascii="Arial Narrow" w:hAnsi="Arial Narrow" w:cs="Arial Narrow"/>
                <w:sz w:val="20"/>
                <w:szCs w:val="20"/>
                <w:lang w:val="en-GB"/>
              </w:rPr>
              <w:t>.</w:t>
            </w:r>
          </w:p>
        </w:tc>
      </w:tr>
      <w:tr w:rsidR="00D541B6" w:rsidRPr="00EA2734" w14:paraId="53028FB2" w14:textId="77777777" w:rsidTr="002A6C67">
        <w:trPr>
          <w:trHeight w:val="1690"/>
        </w:trPr>
        <w:tc>
          <w:tcPr>
            <w:tcW w:w="4111" w:type="dxa"/>
            <w:vAlign w:val="center"/>
          </w:tcPr>
          <w:p w14:paraId="7F3D639E" w14:textId="077EE133" w:rsidR="00D541B6" w:rsidRPr="00EA2734" w:rsidRDefault="002F0872" w:rsidP="00EE3BFD">
            <w:pPr>
              <w:jc w:val="both"/>
              <w:rPr>
                <w:rFonts w:ascii="Arial Narrow" w:hAnsi="Arial Narrow" w:cs="Arial"/>
                <w:sz w:val="20"/>
                <w:szCs w:val="20"/>
                <w:lang w:val="en-GB"/>
              </w:rPr>
            </w:pPr>
            <w:r w:rsidRPr="00EA2734">
              <w:rPr>
                <w:rFonts w:ascii="Arial Narrow" w:hAnsi="Arial Narrow" w:cs="Arial"/>
                <w:sz w:val="20"/>
                <w:szCs w:val="20"/>
                <w:lang w:val="en-GB"/>
              </w:rPr>
              <w:t xml:space="preserve">Centre of Electronic Clearance Polish </w:t>
            </w:r>
            <w:proofErr w:type="spellStart"/>
            <w:r w:rsidRPr="00EA2734">
              <w:rPr>
                <w:rFonts w:ascii="Arial Narrow" w:hAnsi="Arial Narrow" w:cs="Arial"/>
                <w:sz w:val="20"/>
                <w:szCs w:val="20"/>
                <w:lang w:val="en-GB"/>
              </w:rPr>
              <w:t>ePayment</w:t>
            </w:r>
            <w:proofErr w:type="spellEnd"/>
            <w:r w:rsidRPr="00EA2734">
              <w:rPr>
                <w:rFonts w:ascii="Arial Narrow" w:hAnsi="Arial Narrow" w:cs="Arial"/>
                <w:sz w:val="20"/>
                <w:szCs w:val="20"/>
                <w:lang w:val="en-GB"/>
              </w:rPr>
              <w:t xml:space="preserve"> with its seat in </w:t>
            </w:r>
            <w:proofErr w:type="spellStart"/>
            <w:r w:rsidRPr="00EA2734">
              <w:rPr>
                <w:rFonts w:ascii="Arial Narrow" w:hAnsi="Arial Narrow" w:cs="Arial"/>
                <w:sz w:val="20"/>
                <w:szCs w:val="20"/>
                <w:lang w:val="en-GB"/>
              </w:rPr>
              <w:t>Rzeszów</w:t>
            </w:r>
            <w:proofErr w:type="spellEnd"/>
            <w:r w:rsidRPr="00EA2734">
              <w:rPr>
                <w:rFonts w:ascii="Arial Narrow" w:hAnsi="Arial Narrow" w:cs="Arial"/>
                <w:sz w:val="20"/>
                <w:szCs w:val="20"/>
                <w:lang w:val="en-GB"/>
              </w:rPr>
              <w:t xml:space="preserve"> – security for the payment of debt to </w:t>
            </w:r>
            <w:proofErr w:type="spellStart"/>
            <w:r w:rsidRPr="00EA2734">
              <w:rPr>
                <w:rFonts w:ascii="Arial Narrow" w:hAnsi="Arial Narrow" w:cs="Arial"/>
                <w:b/>
                <w:sz w:val="20"/>
                <w:szCs w:val="20"/>
                <w:lang w:val="en-GB"/>
              </w:rPr>
              <w:t>Kolporter</w:t>
            </w:r>
            <w:proofErr w:type="spellEnd"/>
            <w:r w:rsidRPr="00EA2734">
              <w:rPr>
                <w:rFonts w:ascii="Arial Narrow" w:hAnsi="Arial Narrow" w:cs="Arial"/>
                <w:b/>
                <w:sz w:val="20"/>
                <w:szCs w:val="20"/>
                <w:lang w:val="en-GB"/>
              </w:rPr>
              <w:t xml:space="preserve"> Sp. z </w:t>
            </w:r>
            <w:proofErr w:type="spellStart"/>
            <w:r w:rsidRPr="00EA2734">
              <w:rPr>
                <w:rFonts w:ascii="Arial Narrow" w:hAnsi="Arial Narrow" w:cs="Arial"/>
                <w:b/>
                <w:sz w:val="20"/>
                <w:szCs w:val="20"/>
                <w:lang w:val="en-GB"/>
              </w:rPr>
              <w:t>o.o</w:t>
            </w:r>
            <w:proofErr w:type="spellEnd"/>
            <w:r w:rsidRPr="00EA2734">
              <w:rPr>
                <w:rFonts w:ascii="Arial Narrow" w:hAnsi="Arial Narrow" w:cs="Arial"/>
                <w:b/>
                <w:sz w:val="20"/>
                <w:szCs w:val="20"/>
                <w:lang w:val="en-GB"/>
              </w:rPr>
              <w:t>.</w:t>
            </w:r>
            <w:r w:rsidRPr="00EA2734">
              <w:rPr>
                <w:rFonts w:ascii="Arial Narrow" w:hAnsi="Arial Narrow" w:cs="Arial"/>
                <w:sz w:val="20"/>
                <w:szCs w:val="20"/>
                <w:lang w:val="en-GB"/>
              </w:rPr>
              <w:t xml:space="preserve"> </w:t>
            </w:r>
            <w:proofErr w:type="spellStart"/>
            <w:r w:rsidRPr="00EA2734">
              <w:rPr>
                <w:rFonts w:ascii="Arial Narrow" w:hAnsi="Arial Narrow" w:cs="Arial"/>
                <w:sz w:val="20"/>
                <w:szCs w:val="20"/>
                <w:lang w:val="en-GB"/>
              </w:rPr>
              <w:t>Spółka</w:t>
            </w:r>
            <w:proofErr w:type="spellEnd"/>
            <w:r w:rsidRPr="00EA2734">
              <w:rPr>
                <w:rFonts w:ascii="Arial Narrow" w:hAnsi="Arial Narrow" w:cs="Arial"/>
                <w:sz w:val="20"/>
                <w:szCs w:val="20"/>
                <w:lang w:val="en-GB"/>
              </w:rPr>
              <w:t xml:space="preserve"> </w:t>
            </w:r>
            <w:proofErr w:type="spellStart"/>
            <w:r w:rsidRPr="00EA2734">
              <w:rPr>
                <w:rFonts w:ascii="Arial Narrow" w:hAnsi="Arial Narrow" w:cs="Arial"/>
                <w:sz w:val="20"/>
                <w:szCs w:val="20"/>
                <w:lang w:val="en-GB"/>
              </w:rPr>
              <w:t>komandytowo-akcyjna</w:t>
            </w:r>
            <w:proofErr w:type="spellEnd"/>
            <w:r w:rsidRPr="00EA2734">
              <w:rPr>
                <w:rFonts w:ascii="Arial Narrow" w:hAnsi="Arial Narrow" w:cs="Arial"/>
                <w:sz w:val="20"/>
                <w:szCs w:val="20"/>
                <w:lang w:val="en-GB"/>
              </w:rPr>
              <w:t xml:space="preserve">, under goods supply agreement for </w:t>
            </w:r>
            <w:proofErr w:type="spellStart"/>
            <w:r w:rsidRPr="00EA2734">
              <w:rPr>
                <w:rFonts w:ascii="Arial Narrow" w:hAnsi="Arial Narrow" w:cs="Arial"/>
                <w:sz w:val="20"/>
                <w:szCs w:val="20"/>
                <w:lang w:val="en-GB"/>
              </w:rPr>
              <w:t>PeP</w:t>
            </w:r>
            <w:proofErr w:type="spellEnd"/>
            <w:r w:rsidRPr="00EA2734">
              <w:rPr>
                <w:rFonts w:ascii="Arial Narrow" w:hAnsi="Arial Narrow" w:cs="Arial"/>
                <w:sz w:val="20"/>
                <w:szCs w:val="20"/>
                <w:lang w:val="en-GB"/>
              </w:rPr>
              <w:t>, concluded on 25.10.2010.</w:t>
            </w:r>
          </w:p>
          <w:p w14:paraId="71239D8E" w14:textId="77777777" w:rsidR="00D541B6" w:rsidRPr="00EA2734" w:rsidRDefault="00D541B6" w:rsidP="00EE3BFD">
            <w:pPr>
              <w:jc w:val="both"/>
              <w:rPr>
                <w:rFonts w:ascii="Arial Narrow" w:hAnsi="Arial Narrow" w:cs="Arial"/>
                <w:sz w:val="20"/>
                <w:szCs w:val="20"/>
                <w:lang w:val="en-GB"/>
              </w:rPr>
            </w:pPr>
          </w:p>
        </w:tc>
        <w:tc>
          <w:tcPr>
            <w:tcW w:w="992" w:type="dxa"/>
            <w:vAlign w:val="center"/>
          </w:tcPr>
          <w:p w14:paraId="7E6045D8" w14:textId="77777777" w:rsidR="00D541B6" w:rsidRPr="00EA2734" w:rsidRDefault="00D541B6" w:rsidP="00EE3BFD">
            <w:pPr>
              <w:jc w:val="center"/>
              <w:rPr>
                <w:rFonts w:ascii="Arial Narrow" w:hAnsi="Arial Narrow" w:cs="Arial"/>
                <w:sz w:val="20"/>
                <w:szCs w:val="20"/>
                <w:lang w:val="en-GB"/>
              </w:rPr>
            </w:pPr>
            <w:r w:rsidRPr="00EA2734">
              <w:rPr>
                <w:rFonts w:ascii="Arial Narrow" w:hAnsi="Arial Narrow" w:cs="Arial"/>
                <w:sz w:val="20"/>
                <w:szCs w:val="20"/>
                <w:lang w:val="en-GB"/>
              </w:rPr>
              <w:t>180523400</w:t>
            </w:r>
          </w:p>
        </w:tc>
        <w:tc>
          <w:tcPr>
            <w:tcW w:w="1198" w:type="dxa"/>
            <w:shd w:val="clear" w:color="auto" w:fill="auto"/>
            <w:vAlign w:val="center"/>
          </w:tcPr>
          <w:p w14:paraId="4E647A03" w14:textId="554535F8" w:rsidR="00D541B6" w:rsidRPr="00EA2734" w:rsidRDefault="002F0872" w:rsidP="00EE3BFD">
            <w:pPr>
              <w:jc w:val="center"/>
              <w:rPr>
                <w:rFonts w:ascii="Arial Narrow" w:hAnsi="Arial Narrow" w:cs="Arial"/>
                <w:color w:val="FF0000"/>
                <w:sz w:val="20"/>
                <w:szCs w:val="20"/>
                <w:lang w:val="en-GB"/>
              </w:rPr>
            </w:pPr>
            <w:r w:rsidRPr="00EA2734">
              <w:rPr>
                <w:rFonts w:ascii="Arial Narrow" w:hAnsi="Arial Narrow" w:cs="Arial"/>
                <w:sz w:val="20"/>
                <w:szCs w:val="20"/>
                <w:lang w:val="en-GB"/>
              </w:rPr>
              <w:t>guarantee of liabilit</w:t>
            </w:r>
            <w:r w:rsidR="00537802" w:rsidRPr="00EA2734">
              <w:rPr>
                <w:rFonts w:ascii="Arial Narrow" w:hAnsi="Arial Narrow" w:cs="Arial"/>
                <w:sz w:val="20"/>
                <w:szCs w:val="20"/>
                <w:lang w:val="en-GB"/>
              </w:rPr>
              <w:t>i</w:t>
            </w:r>
            <w:r w:rsidRPr="00EA2734">
              <w:rPr>
                <w:rFonts w:ascii="Arial Narrow" w:hAnsi="Arial Narrow" w:cs="Arial"/>
                <w:sz w:val="20"/>
                <w:szCs w:val="20"/>
                <w:lang w:val="en-GB"/>
              </w:rPr>
              <w:t>es</w:t>
            </w:r>
          </w:p>
          <w:p w14:paraId="7FA99961" w14:textId="77777777" w:rsidR="00D541B6" w:rsidRPr="00EA2734" w:rsidRDefault="00D541B6" w:rsidP="00EE3BFD">
            <w:pPr>
              <w:jc w:val="center"/>
              <w:rPr>
                <w:rFonts w:ascii="Arial Narrow" w:hAnsi="Arial Narrow" w:cs="Arial"/>
                <w:sz w:val="20"/>
                <w:szCs w:val="20"/>
                <w:lang w:val="en-GB"/>
              </w:rPr>
            </w:pPr>
          </w:p>
        </w:tc>
        <w:tc>
          <w:tcPr>
            <w:tcW w:w="1212" w:type="dxa"/>
            <w:vAlign w:val="center"/>
          </w:tcPr>
          <w:p w14:paraId="286E2BB4" w14:textId="3B3076D9" w:rsidR="00D541B6" w:rsidRPr="00EA2734" w:rsidRDefault="002F0872" w:rsidP="00EE3BFD">
            <w:pPr>
              <w:jc w:val="center"/>
              <w:rPr>
                <w:rFonts w:ascii="Arial Narrow" w:hAnsi="Arial Narrow" w:cs="Arial"/>
                <w:sz w:val="20"/>
                <w:szCs w:val="20"/>
                <w:lang w:val="en-GB"/>
              </w:rPr>
            </w:pPr>
            <w:r w:rsidRPr="00EA2734">
              <w:rPr>
                <w:rFonts w:ascii="Arial Narrow" w:hAnsi="Arial Narrow" w:cs="Arial"/>
                <w:sz w:val="20"/>
                <w:szCs w:val="20"/>
                <w:lang w:val="en-GB"/>
              </w:rPr>
              <w:t>Surety up to PLN</w:t>
            </w:r>
          </w:p>
          <w:p w14:paraId="258F6FD5" w14:textId="44A15257" w:rsidR="00D541B6" w:rsidRPr="00EA2734" w:rsidRDefault="002F0872" w:rsidP="00EE3BFD">
            <w:pPr>
              <w:jc w:val="center"/>
              <w:rPr>
                <w:rFonts w:ascii="Arial Narrow" w:hAnsi="Arial Narrow" w:cs="Arial"/>
                <w:sz w:val="20"/>
                <w:szCs w:val="20"/>
                <w:lang w:val="en-GB"/>
              </w:rPr>
            </w:pPr>
            <w:r w:rsidRPr="00EA2734">
              <w:rPr>
                <w:rFonts w:ascii="Arial Narrow" w:hAnsi="Arial Narrow" w:cs="Arial"/>
                <w:sz w:val="20"/>
                <w:szCs w:val="20"/>
                <w:lang w:val="en-GB"/>
              </w:rPr>
              <w:t xml:space="preserve"> 3 000 000 </w:t>
            </w:r>
          </w:p>
        </w:tc>
        <w:tc>
          <w:tcPr>
            <w:tcW w:w="1843" w:type="dxa"/>
            <w:vAlign w:val="center"/>
          </w:tcPr>
          <w:p w14:paraId="0D71EA81" w14:textId="5B3454F7" w:rsidR="002F0872" w:rsidRPr="00EA2734" w:rsidRDefault="002F0872" w:rsidP="00742B9B">
            <w:pPr>
              <w:jc w:val="center"/>
              <w:rPr>
                <w:rFonts w:ascii="Arial Narrow" w:hAnsi="Arial Narrow" w:cs="Arial Narrow"/>
                <w:sz w:val="20"/>
                <w:szCs w:val="20"/>
                <w:lang w:val="en-GB"/>
              </w:rPr>
            </w:pPr>
            <w:r w:rsidRPr="00EA2734">
              <w:rPr>
                <w:rFonts w:ascii="Arial Narrow" w:hAnsi="Arial Narrow" w:cs="Arial Narrow"/>
                <w:sz w:val="20"/>
                <w:szCs w:val="20"/>
                <w:lang w:val="en-GB"/>
              </w:rPr>
              <w:t>From</w:t>
            </w:r>
          </w:p>
          <w:p w14:paraId="663E1B45" w14:textId="77777777" w:rsidR="002F0872" w:rsidRPr="00EA2734" w:rsidRDefault="002F0872" w:rsidP="00742B9B">
            <w:pPr>
              <w:jc w:val="center"/>
              <w:rPr>
                <w:rFonts w:ascii="Arial Narrow" w:hAnsi="Arial Narrow" w:cs="Arial Narrow"/>
                <w:sz w:val="20"/>
                <w:szCs w:val="20"/>
                <w:lang w:val="en-GB"/>
              </w:rPr>
            </w:pPr>
            <w:r w:rsidRPr="00EA2734">
              <w:rPr>
                <w:rFonts w:ascii="Arial Narrow" w:hAnsi="Arial Narrow" w:cs="Arial Narrow"/>
                <w:sz w:val="20"/>
                <w:szCs w:val="20"/>
                <w:lang w:val="en-GB"/>
              </w:rPr>
              <w:t>19.05.2016 up to 12 months</w:t>
            </w:r>
          </w:p>
          <w:p w14:paraId="77A9200C" w14:textId="77777777" w:rsidR="002F0872" w:rsidRPr="00EA2734" w:rsidRDefault="002F0872" w:rsidP="00742B9B">
            <w:pPr>
              <w:jc w:val="center"/>
              <w:rPr>
                <w:rFonts w:ascii="Arial Narrow" w:hAnsi="Arial Narrow" w:cs="Arial Narrow"/>
                <w:sz w:val="20"/>
                <w:szCs w:val="20"/>
                <w:lang w:val="en-GB"/>
              </w:rPr>
            </w:pPr>
            <w:r w:rsidRPr="00EA2734">
              <w:rPr>
                <w:rFonts w:ascii="Arial Narrow" w:hAnsi="Arial Narrow" w:cs="Arial Narrow"/>
                <w:sz w:val="20"/>
                <w:szCs w:val="20"/>
                <w:lang w:val="en-GB"/>
              </w:rPr>
              <w:t>after the due</w:t>
            </w:r>
          </w:p>
          <w:p w14:paraId="2E3F6179" w14:textId="77777777" w:rsidR="002F0872" w:rsidRPr="00EA2734" w:rsidRDefault="002F0872" w:rsidP="00742B9B">
            <w:pPr>
              <w:jc w:val="center"/>
              <w:rPr>
                <w:rFonts w:ascii="Arial Narrow" w:hAnsi="Arial Narrow" w:cs="Arial Narrow"/>
                <w:sz w:val="20"/>
                <w:szCs w:val="20"/>
                <w:lang w:val="en-GB"/>
              </w:rPr>
            </w:pPr>
            <w:r w:rsidRPr="00EA2734">
              <w:rPr>
                <w:rFonts w:ascii="Arial Narrow" w:hAnsi="Arial Narrow" w:cs="Arial Narrow"/>
                <w:sz w:val="20"/>
                <w:szCs w:val="20"/>
                <w:lang w:val="en-GB"/>
              </w:rPr>
              <w:t>date of the final</w:t>
            </w:r>
          </w:p>
          <w:p w14:paraId="508B3533" w14:textId="77777777" w:rsidR="002F0872" w:rsidRPr="00EA2734" w:rsidRDefault="002F0872" w:rsidP="00742B9B">
            <w:pPr>
              <w:jc w:val="center"/>
              <w:rPr>
                <w:rFonts w:ascii="Arial Narrow" w:hAnsi="Arial Narrow" w:cs="Arial Narrow"/>
                <w:sz w:val="20"/>
                <w:szCs w:val="20"/>
                <w:lang w:val="en-GB"/>
              </w:rPr>
            </w:pPr>
            <w:r w:rsidRPr="00EA2734">
              <w:rPr>
                <w:rFonts w:ascii="Arial Narrow" w:hAnsi="Arial Narrow" w:cs="Arial Narrow"/>
                <w:sz w:val="20"/>
                <w:szCs w:val="20"/>
                <w:lang w:val="en-GB"/>
              </w:rPr>
              <w:t>invoice issued</w:t>
            </w:r>
          </w:p>
          <w:p w14:paraId="0AC2173F" w14:textId="0784C1FE" w:rsidR="00D541B6" w:rsidRPr="00EA2734" w:rsidRDefault="002F0872" w:rsidP="00742B9B">
            <w:pPr>
              <w:jc w:val="center"/>
              <w:rPr>
                <w:rFonts w:ascii="Arial Narrow" w:hAnsi="Arial Narrow" w:cs="Arial"/>
                <w:sz w:val="20"/>
                <w:szCs w:val="20"/>
                <w:lang w:val="en-GB"/>
              </w:rPr>
            </w:pPr>
            <w:r w:rsidRPr="00EA2734">
              <w:rPr>
                <w:rFonts w:ascii="Arial Narrow" w:hAnsi="Arial Narrow" w:cs="Arial Narrow"/>
                <w:sz w:val="20"/>
                <w:szCs w:val="20"/>
                <w:lang w:val="en-GB"/>
              </w:rPr>
              <w:t xml:space="preserve">by </w:t>
            </w:r>
            <w:proofErr w:type="spellStart"/>
            <w:r w:rsidRPr="00EA2734">
              <w:rPr>
                <w:rFonts w:ascii="Arial Narrow" w:hAnsi="Arial Narrow" w:cs="Arial Narrow"/>
                <w:sz w:val="20"/>
                <w:szCs w:val="20"/>
                <w:lang w:val="en-GB"/>
              </w:rPr>
              <w:t>Kolporter</w:t>
            </w:r>
            <w:proofErr w:type="spellEnd"/>
            <w:r w:rsidRPr="00EA2734">
              <w:rPr>
                <w:rFonts w:ascii="Arial Narrow" w:hAnsi="Arial Narrow" w:cs="Arial Narrow"/>
                <w:sz w:val="20"/>
                <w:szCs w:val="20"/>
                <w:lang w:val="en-GB"/>
              </w:rPr>
              <w:t xml:space="preserve"> Sp. z </w:t>
            </w:r>
            <w:proofErr w:type="spellStart"/>
            <w:r w:rsidRPr="00EA2734">
              <w:rPr>
                <w:rFonts w:ascii="Arial Narrow" w:hAnsi="Arial Narrow" w:cs="Arial Narrow"/>
                <w:sz w:val="20"/>
                <w:szCs w:val="20"/>
                <w:lang w:val="en-GB"/>
              </w:rPr>
              <w:t>o.o</w:t>
            </w:r>
            <w:proofErr w:type="spellEnd"/>
            <w:r w:rsidRPr="00EA2734">
              <w:rPr>
                <w:rFonts w:ascii="Arial Narrow" w:hAnsi="Arial Narrow" w:cs="Arial Narrow"/>
                <w:sz w:val="20"/>
                <w:szCs w:val="20"/>
                <w:lang w:val="en-GB"/>
              </w:rPr>
              <w:t>.</w:t>
            </w:r>
          </w:p>
        </w:tc>
      </w:tr>
    </w:tbl>
    <w:p w14:paraId="244F8844" w14:textId="77777777" w:rsidR="00D541B6" w:rsidRPr="00EA2734" w:rsidRDefault="00D541B6" w:rsidP="00D541B6">
      <w:pPr>
        <w:rPr>
          <w:rFonts w:ascii="Arial Narrow" w:hAnsi="Arial Narrow"/>
          <w:b/>
          <w:sz w:val="21"/>
          <w:szCs w:val="21"/>
          <w:lang w:val="en-GB"/>
        </w:rPr>
      </w:pPr>
    </w:p>
    <w:p w14:paraId="1199962C" w14:textId="1B55C076" w:rsidR="00D54B55" w:rsidRPr="00EA2734" w:rsidRDefault="002F0872" w:rsidP="00425257">
      <w:pPr>
        <w:pStyle w:val="MsrSection2"/>
        <w:numPr>
          <w:ilvl w:val="0"/>
          <w:numId w:val="8"/>
        </w:numPr>
        <w:jc w:val="both"/>
        <w:outlineLvl w:val="0"/>
        <w:rPr>
          <w:rFonts w:ascii="Arial Narrow" w:hAnsi="Arial Narrow" w:cs="Arial"/>
          <w:b w:val="0"/>
          <w:i w:val="0"/>
          <w:color w:val="002060"/>
          <w:sz w:val="28"/>
          <w:szCs w:val="22"/>
          <w:lang w:val="en-GB" w:eastAsia="pl-PL"/>
        </w:rPr>
      </w:pPr>
      <w:bookmarkStart w:id="144" w:name="_Toc465945652"/>
      <w:r w:rsidRPr="00EA2734">
        <w:rPr>
          <w:rFonts w:ascii="Arial Narrow" w:hAnsi="Arial Narrow" w:cs="Arial"/>
          <w:b w:val="0"/>
          <w:i w:val="0"/>
          <w:color w:val="002060"/>
          <w:sz w:val="28"/>
          <w:szCs w:val="22"/>
          <w:lang w:val="en-GB" w:eastAsia="pl-PL"/>
        </w:rPr>
        <w:lastRenderedPageBreak/>
        <w:t>Information which is important in the assessment of the Issuer’s situation in terms of staff, assets, finance, financial performance and their changes, as well as information which is important in assessing the ability to meet liabilities.</w:t>
      </w:r>
      <w:bookmarkEnd w:id="144"/>
    </w:p>
    <w:p w14:paraId="4C22D00E" w14:textId="77777777" w:rsidR="00F76B38" w:rsidRPr="00EA2734" w:rsidRDefault="00F76B38" w:rsidP="00F76B38">
      <w:pPr>
        <w:pStyle w:val="Zwykytekst"/>
        <w:spacing w:line="276" w:lineRule="auto"/>
        <w:ind w:left="360"/>
        <w:rPr>
          <w:rFonts w:ascii="Arial Narrow" w:hAnsi="Arial Narrow"/>
          <w:lang w:val="en-GB"/>
        </w:rPr>
      </w:pPr>
      <w:bookmarkStart w:id="145" w:name="_Toc256162551"/>
    </w:p>
    <w:p w14:paraId="6E947A28" w14:textId="43C53A9F" w:rsidR="00F76B38" w:rsidRPr="00EA2734" w:rsidRDefault="002F0872" w:rsidP="00373E92">
      <w:pPr>
        <w:spacing w:before="120" w:line="276" w:lineRule="auto"/>
        <w:jc w:val="both"/>
        <w:rPr>
          <w:rFonts w:ascii="Arial Narrow" w:hAnsi="Arial Narrow" w:cs="Arial Narrow"/>
          <w:sz w:val="20"/>
          <w:szCs w:val="20"/>
          <w:lang w:val="en-GB"/>
        </w:rPr>
      </w:pPr>
      <w:r w:rsidRPr="00EA2734">
        <w:rPr>
          <w:rFonts w:ascii="Arial Narrow" w:hAnsi="Arial Narrow" w:cs="Arial Narrow"/>
          <w:sz w:val="20"/>
          <w:szCs w:val="20"/>
          <w:lang w:val="en-GB"/>
        </w:rPr>
        <w:t>As of the date of this report there are no events or information significantly affecting the Company’s situation in terms of staff, assets and finance. The Issuer settles its payments in a timely manner.</w:t>
      </w:r>
    </w:p>
    <w:p w14:paraId="36BCECD3" w14:textId="4E03D7FE" w:rsidR="006F36CE" w:rsidRPr="00EA2734" w:rsidRDefault="006F36CE" w:rsidP="006F36CE">
      <w:pPr>
        <w:pStyle w:val="MsrSection2"/>
        <w:numPr>
          <w:ilvl w:val="0"/>
          <w:numId w:val="8"/>
        </w:numPr>
        <w:jc w:val="both"/>
        <w:outlineLvl w:val="0"/>
        <w:rPr>
          <w:rFonts w:ascii="Arial Narrow" w:hAnsi="Arial Narrow" w:cs="Arial"/>
          <w:b w:val="0"/>
          <w:i w:val="0"/>
          <w:color w:val="002060"/>
          <w:sz w:val="28"/>
          <w:szCs w:val="22"/>
          <w:lang w:val="en-GB" w:eastAsia="pl-PL"/>
        </w:rPr>
      </w:pPr>
      <w:r w:rsidRPr="00EA2734">
        <w:rPr>
          <w:rFonts w:ascii="Arial Narrow" w:hAnsi="Arial Narrow" w:cs="Arial"/>
          <w:b w:val="0"/>
          <w:i w:val="0"/>
          <w:color w:val="002060"/>
          <w:sz w:val="28"/>
          <w:szCs w:val="22"/>
          <w:lang w:val="en-GB" w:eastAsia="pl-PL"/>
        </w:rPr>
        <w:t xml:space="preserve"> </w:t>
      </w:r>
      <w:bookmarkStart w:id="146" w:name="_Toc465945653"/>
      <w:r w:rsidR="002F0872" w:rsidRPr="00EA2734">
        <w:rPr>
          <w:rFonts w:ascii="Arial Narrow" w:hAnsi="Arial Narrow" w:cs="Arial"/>
          <w:b w:val="0"/>
          <w:i w:val="0"/>
          <w:color w:val="002060"/>
          <w:sz w:val="28"/>
          <w:szCs w:val="22"/>
          <w:lang w:val="en-GB" w:eastAsia="pl-PL"/>
        </w:rPr>
        <w:t>Identification of factors which, in the Issuer’s opinion, will affect its performance within a time span of at least the coming six months.</w:t>
      </w:r>
      <w:bookmarkEnd w:id="146"/>
    </w:p>
    <w:p w14:paraId="08D62A61" w14:textId="77777777" w:rsidR="00EE1B03" w:rsidRPr="00EA2734" w:rsidRDefault="00EE1B03" w:rsidP="006F36CE">
      <w:pPr>
        <w:pStyle w:val="Assetnumerowanieboldem"/>
        <w:numPr>
          <w:ilvl w:val="0"/>
          <w:numId w:val="0"/>
        </w:numPr>
        <w:rPr>
          <w:rFonts w:ascii="Arial Narrow" w:hAnsi="Arial Narrow"/>
          <w:b w:val="0"/>
          <w:lang w:val="en-GB"/>
        </w:rPr>
      </w:pPr>
    </w:p>
    <w:bookmarkEnd w:id="131"/>
    <w:bookmarkEnd w:id="145"/>
    <w:p w14:paraId="1B2488E8" w14:textId="0481F84E" w:rsidR="00494E8C" w:rsidRPr="00EA2734" w:rsidRDefault="002F0872" w:rsidP="00373E92">
      <w:pPr>
        <w:spacing w:before="120" w:line="276" w:lineRule="auto"/>
        <w:jc w:val="both"/>
        <w:rPr>
          <w:rFonts w:ascii="Arial Narrow" w:hAnsi="Arial Narrow" w:cs="Arial Narrow"/>
          <w:sz w:val="20"/>
          <w:szCs w:val="20"/>
          <w:lang w:val="en-GB"/>
        </w:rPr>
      </w:pPr>
      <w:r w:rsidRPr="00EA2734">
        <w:rPr>
          <w:rFonts w:ascii="Arial Narrow" w:hAnsi="Arial Narrow" w:cs="Arial Narrow"/>
          <w:sz w:val="20"/>
          <w:szCs w:val="20"/>
          <w:lang w:val="en-GB"/>
        </w:rPr>
        <w:t xml:space="preserve">The Issuer does not identify factors which may have a significant impact on the performance of </w:t>
      </w:r>
      <w:proofErr w:type="spellStart"/>
      <w:r w:rsidRPr="00EA2734">
        <w:rPr>
          <w:rFonts w:ascii="Arial Narrow" w:hAnsi="Arial Narrow" w:cs="Arial Narrow"/>
          <w:sz w:val="20"/>
          <w:szCs w:val="20"/>
          <w:lang w:val="en-GB"/>
        </w:rPr>
        <w:t>OPTeam</w:t>
      </w:r>
      <w:proofErr w:type="spellEnd"/>
      <w:r w:rsidRPr="00EA2734">
        <w:rPr>
          <w:rFonts w:ascii="Arial Narrow" w:hAnsi="Arial Narrow" w:cs="Arial Narrow"/>
          <w:sz w:val="20"/>
          <w:szCs w:val="20"/>
          <w:lang w:val="en-GB"/>
        </w:rPr>
        <w:t xml:space="preserve"> S.A. within at least the next six months.</w:t>
      </w:r>
    </w:p>
    <w:p w14:paraId="63A4F290" w14:textId="091F7CCA" w:rsidR="00ED343A" w:rsidRPr="00EA2734" w:rsidRDefault="008D3519" w:rsidP="00E72D3A">
      <w:pPr>
        <w:pStyle w:val="MsrSection2"/>
        <w:jc w:val="both"/>
        <w:outlineLvl w:val="0"/>
        <w:rPr>
          <w:rFonts w:ascii="Arial Narrow" w:hAnsi="Arial Narrow" w:cs="Arial"/>
          <w:b w:val="0"/>
          <w:i w:val="0"/>
          <w:color w:val="002060"/>
          <w:sz w:val="28"/>
          <w:szCs w:val="22"/>
          <w:lang w:val="en-GB" w:eastAsia="pl-PL"/>
        </w:rPr>
      </w:pPr>
      <w:bookmarkStart w:id="147" w:name="_Toc465945654"/>
      <w:r w:rsidRPr="00EA2734">
        <w:rPr>
          <w:rFonts w:ascii="Arial Narrow" w:hAnsi="Arial Narrow" w:cs="Arial"/>
          <w:b w:val="0"/>
          <w:i w:val="0"/>
          <w:color w:val="002060"/>
          <w:sz w:val="28"/>
          <w:szCs w:val="22"/>
          <w:lang w:val="en-GB" w:eastAsia="pl-PL"/>
        </w:rPr>
        <w:t xml:space="preserve">Management Board of </w:t>
      </w:r>
      <w:proofErr w:type="spellStart"/>
      <w:r w:rsidRPr="00EA2734">
        <w:rPr>
          <w:rFonts w:ascii="Arial Narrow" w:hAnsi="Arial Narrow" w:cs="Arial"/>
          <w:b w:val="0"/>
          <w:i w:val="0"/>
          <w:color w:val="002060"/>
          <w:sz w:val="28"/>
          <w:szCs w:val="22"/>
          <w:lang w:val="en-GB" w:eastAsia="pl-PL"/>
        </w:rPr>
        <w:t>OPTeam</w:t>
      </w:r>
      <w:proofErr w:type="spellEnd"/>
      <w:r w:rsidRPr="00EA2734">
        <w:rPr>
          <w:rFonts w:ascii="Arial Narrow" w:hAnsi="Arial Narrow" w:cs="Arial"/>
          <w:b w:val="0"/>
          <w:i w:val="0"/>
          <w:color w:val="002060"/>
          <w:sz w:val="28"/>
          <w:szCs w:val="22"/>
          <w:lang w:val="en-GB" w:eastAsia="pl-PL"/>
        </w:rPr>
        <w:t xml:space="preserve"> S.A.:</w:t>
      </w:r>
      <w:bookmarkEnd w:id="147"/>
    </w:p>
    <w:p w14:paraId="49FA66B0" w14:textId="77777777" w:rsidR="001B34FE" w:rsidRPr="00EA2734" w:rsidRDefault="001B34FE" w:rsidP="00ED343A">
      <w:pPr>
        <w:jc w:val="both"/>
        <w:rPr>
          <w:rFonts w:ascii="Arial Narrow" w:hAnsi="Arial Narrow" w:cs="Arial"/>
          <w:b/>
          <w:sz w:val="22"/>
          <w:szCs w:val="22"/>
          <w:lang w:val="en-GB"/>
        </w:rPr>
      </w:pPr>
    </w:p>
    <w:tbl>
      <w:tblPr>
        <w:tblStyle w:val="Tabela-Siatka"/>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1"/>
        <w:gridCol w:w="3174"/>
        <w:gridCol w:w="3289"/>
      </w:tblGrid>
      <w:tr w:rsidR="001B34FE" w:rsidRPr="00EA2734" w14:paraId="5B50C5F1" w14:textId="77777777" w:rsidTr="00172790">
        <w:trPr>
          <w:trHeight w:val="580"/>
        </w:trPr>
        <w:tc>
          <w:tcPr>
            <w:tcW w:w="3171" w:type="dxa"/>
          </w:tcPr>
          <w:p w14:paraId="264248C1" w14:textId="77777777" w:rsidR="001B34FE" w:rsidRPr="00EA2734" w:rsidRDefault="001B34FE" w:rsidP="00373E92">
            <w:pPr>
              <w:spacing w:before="120" w:line="276" w:lineRule="auto"/>
              <w:jc w:val="center"/>
              <w:rPr>
                <w:rFonts w:ascii="Arial Narrow" w:hAnsi="Arial Narrow" w:cs="Arial Narrow"/>
                <w:sz w:val="20"/>
                <w:szCs w:val="20"/>
                <w:lang w:val="en-GB"/>
              </w:rPr>
            </w:pPr>
            <w:proofErr w:type="spellStart"/>
            <w:r w:rsidRPr="00EA2734">
              <w:rPr>
                <w:rFonts w:ascii="Arial Narrow" w:hAnsi="Arial Narrow" w:cs="Arial Narrow"/>
                <w:sz w:val="20"/>
                <w:szCs w:val="20"/>
                <w:lang w:val="en-GB"/>
              </w:rPr>
              <w:t>Wacław</w:t>
            </w:r>
            <w:proofErr w:type="spellEnd"/>
            <w:r w:rsidRPr="00EA2734">
              <w:rPr>
                <w:rFonts w:ascii="Arial Narrow" w:hAnsi="Arial Narrow" w:cs="Arial Narrow"/>
                <w:sz w:val="20"/>
                <w:szCs w:val="20"/>
                <w:lang w:val="en-GB"/>
              </w:rPr>
              <w:t xml:space="preserve"> </w:t>
            </w:r>
            <w:proofErr w:type="spellStart"/>
            <w:r w:rsidRPr="00EA2734">
              <w:rPr>
                <w:rFonts w:ascii="Arial Narrow" w:hAnsi="Arial Narrow" w:cs="Arial Narrow"/>
                <w:sz w:val="20"/>
                <w:szCs w:val="20"/>
                <w:lang w:val="en-GB"/>
              </w:rPr>
              <w:t>Szary</w:t>
            </w:r>
            <w:proofErr w:type="spellEnd"/>
          </w:p>
          <w:p w14:paraId="05712D20" w14:textId="378BAF46" w:rsidR="001B34FE" w:rsidRPr="00EA2734" w:rsidRDefault="008D3519" w:rsidP="00373E92">
            <w:pPr>
              <w:spacing w:before="120" w:line="276" w:lineRule="auto"/>
              <w:jc w:val="center"/>
              <w:rPr>
                <w:rFonts w:ascii="Arial Narrow" w:hAnsi="Arial Narrow" w:cs="Arial Narrow"/>
                <w:sz w:val="20"/>
                <w:szCs w:val="20"/>
                <w:lang w:val="en-GB"/>
              </w:rPr>
            </w:pPr>
            <w:r w:rsidRPr="00EA2734">
              <w:rPr>
                <w:rFonts w:ascii="Arial Narrow" w:hAnsi="Arial Narrow" w:cs="Arial Narrow"/>
                <w:sz w:val="20"/>
                <w:szCs w:val="20"/>
                <w:lang w:val="en-GB"/>
              </w:rPr>
              <w:t>President of the Management Board</w:t>
            </w:r>
          </w:p>
        </w:tc>
        <w:tc>
          <w:tcPr>
            <w:tcW w:w="3174" w:type="dxa"/>
          </w:tcPr>
          <w:p w14:paraId="61DCE8F5" w14:textId="77777777" w:rsidR="001B34FE" w:rsidRPr="00EA2734" w:rsidRDefault="001B34FE" w:rsidP="00373E92">
            <w:pPr>
              <w:spacing w:before="120" w:line="276" w:lineRule="auto"/>
              <w:jc w:val="center"/>
              <w:rPr>
                <w:rFonts w:ascii="Arial Narrow" w:hAnsi="Arial Narrow" w:cs="Arial Narrow"/>
                <w:sz w:val="20"/>
                <w:szCs w:val="20"/>
                <w:lang w:val="en-GB"/>
              </w:rPr>
            </w:pPr>
            <w:r w:rsidRPr="00EA2734">
              <w:rPr>
                <w:rFonts w:ascii="Arial Narrow" w:hAnsi="Arial Narrow" w:cs="Arial Narrow"/>
                <w:sz w:val="20"/>
                <w:szCs w:val="20"/>
                <w:lang w:val="en-GB"/>
              </w:rPr>
              <w:t xml:space="preserve">Bogdan </w:t>
            </w:r>
            <w:proofErr w:type="spellStart"/>
            <w:r w:rsidRPr="00EA2734">
              <w:rPr>
                <w:rFonts w:ascii="Arial Narrow" w:hAnsi="Arial Narrow" w:cs="Arial Narrow"/>
                <w:sz w:val="20"/>
                <w:szCs w:val="20"/>
                <w:lang w:val="en-GB"/>
              </w:rPr>
              <w:t>Niziołek</w:t>
            </w:r>
            <w:proofErr w:type="spellEnd"/>
          </w:p>
          <w:p w14:paraId="610E7CAF" w14:textId="3EC2A291" w:rsidR="001B34FE" w:rsidRPr="00EA2734" w:rsidRDefault="008D3519" w:rsidP="00373E92">
            <w:pPr>
              <w:spacing w:before="120" w:line="276" w:lineRule="auto"/>
              <w:jc w:val="center"/>
              <w:rPr>
                <w:rFonts w:ascii="Arial Narrow" w:hAnsi="Arial Narrow" w:cs="Arial Narrow"/>
                <w:sz w:val="20"/>
                <w:szCs w:val="20"/>
                <w:lang w:val="en-GB"/>
              </w:rPr>
            </w:pPr>
            <w:r w:rsidRPr="00EA2734">
              <w:rPr>
                <w:rFonts w:ascii="Arial Narrow" w:hAnsi="Arial Narrow" w:cs="Arial Narrow"/>
                <w:sz w:val="20"/>
                <w:szCs w:val="20"/>
                <w:lang w:val="en-GB"/>
              </w:rPr>
              <w:t>Vice President of the Management Board</w:t>
            </w:r>
          </w:p>
        </w:tc>
        <w:tc>
          <w:tcPr>
            <w:tcW w:w="3289" w:type="dxa"/>
          </w:tcPr>
          <w:p w14:paraId="03D241E2" w14:textId="77777777" w:rsidR="001B34FE" w:rsidRPr="00EA2734" w:rsidRDefault="00172790" w:rsidP="00373E92">
            <w:pPr>
              <w:spacing w:before="120" w:line="276" w:lineRule="auto"/>
              <w:jc w:val="center"/>
              <w:rPr>
                <w:rFonts w:ascii="Arial Narrow" w:hAnsi="Arial Narrow" w:cs="Arial Narrow"/>
                <w:sz w:val="20"/>
                <w:szCs w:val="20"/>
                <w:lang w:val="en-GB"/>
              </w:rPr>
            </w:pPr>
            <w:proofErr w:type="spellStart"/>
            <w:r w:rsidRPr="00EA2734">
              <w:rPr>
                <w:rFonts w:ascii="Arial Narrow" w:hAnsi="Arial Narrow" w:cs="Arial Narrow"/>
                <w:sz w:val="20"/>
                <w:szCs w:val="20"/>
                <w:lang w:val="en-GB"/>
              </w:rPr>
              <w:t>Ryszard</w:t>
            </w:r>
            <w:proofErr w:type="spellEnd"/>
            <w:r w:rsidRPr="00EA2734">
              <w:rPr>
                <w:rFonts w:ascii="Arial Narrow" w:hAnsi="Arial Narrow" w:cs="Arial Narrow"/>
                <w:sz w:val="20"/>
                <w:szCs w:val="20"/>
                <w:lang w:val="en-GB"/>
              </w:rPr>
              <w:t xml:space="preserve"> </w:t>
            </w:r>
            <w:proofErr w:type="spellStart"/>
            <w:r w:rsidRPr="00EA2734">
              <w:rPr>
                <w:rFonts w:ascii="Arial Narrow" w:hAnsi="Arial Narrow" w:cs="Arial Narrow"/>
                <w:sz w:val="20"/>
                <w:szCs w:val="20"/>
                <w:lang w:val="en-GB"/>
              </w:rPr>
              <w:t>Woźniak</w:t>
            </w:r>
            <w:proofErr w:type="spellEnd"/>
          </w:p>
          <w:p w14:paraId="1F9CBECF" w14:textId="27E489CE" w:rsidR="001B34FE" w:rsidRPr="00EA2734" w:rsidRDefault="008D3519" w:rsidP="00373E92">
            <w:pPr>
              <w:spacing w:before="120" w:line="276" w:lineRule="auto"/>
              <w:jc w:val="center"/>
              <w:rPr>
                <w:rFonts w:ascii="Arial Narrow" w:hAnsi="Arial Narrow" w:cs="Arial Narrow"/>
                <w:sz w:val="20"/>
                <w:szCs w:val="20"/>
                <w:lang w:val="en-GB"/>
              </w:rPr>
            </w:pPr>
            <w:r w:rsidRPr="00EA2734">
              <w:rPr>
                <w:rFonts w:ascii="Arial Narrow" w:hAnsi="Arial Narrow" w:cs="Arial Narrow"/>
                <w:sz w:val="20"/>
                <w:szCs w:val="20"/>
                <w:lang w:val="en-GB"/>
              </w:rPr>
              <w:t>Vice President of the Management Board</w:t>
            </w:r>
          </w:p>
        </w:tc>
      </w:tr>
    </w:tbl>
    <w:p w14:paraId="44C697FA" w14:textId="77777777" w:rsidR="00ED343A" w:rsidRPr="00EA2734" w:rsidRDefault="00ED343A" w:rsidP="003D0E67">
      <w:pPr>
        <w:jc w:val="both"/>
        <w:rPr>
          <w:rFonts w:ascii="Arial Narrow" w:hAnsi="Arial Narrow" w:cs="Arial"/>
          <w:sz w:val="22"/>
          <w:szCs w:val="22"/>
          <w:lang w:val="en-GB" w:eastAsia="en-US"/>
        </w:rPr>
      </w:pPr>
    </w:p>
    <w:sectPr w:rsidR="00ED343A" w:rsidRPr="00EA2734" w:rsidSect="008C6BA0">
      <w:headerReference w:type="default" r:id="rId10"/>
      <w:footerReference w:type="even" r:id="rId11"/>
      <w:footerReference w:type="default" r:id="rId12"/>
      <w:pgSz w:w="11906" w:h="16838"/>
      <w:pgMar w:top="1417" w:right="1133"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9A2E39" w14:textId="77777777" w:rsidR="002E266A" w:rsidRDefault="002E266A">
      <w:r>
        <w:separator/>
      </w:r>
    </w:p>
  </w:endnote>
  <w:endnote w:type="continuationSeparator" w:id="0">
    <w:p w14:paraId="4463B4E9" w14:textId="77777777" w:rsidR="002E266A" w:rsidRDefault="002E2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D053F" w14:textId="77777777" w:rsidR="00EE3BFD" w:rsidRDefault="00EE3BFD" w:rsidP="00A0661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9CF247E" w14:textId="77777777" w:rsidR="00EE3BFD" w:rsidRDefault="00EE3BF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E091F" w14:textId="77777777" w:rsidR="00EE3BFD" w:rsidRDefault="00EE3BFD">
    <w:pPr>
      <w:pStyle w:val="Stopka"/>
      <w:jc w:val="center"/>
    </w:pPr>
    <w:r>
      <w:fldChar w:fldCharType="begin"/>
    </w:r>
    <w:r>
      <w:instrText>PAGE   \* MERGEFORMAT</w:instrText>
    </w:r>
    <w:r>
      <w:fldChar w:fldCharType="separate"/>
    </w:r>
    <w:r w:rsidR="00EA2734">
      <w:rPr>
        <w:noProof/>
      </w:rPr>
      <w:t>10</w:t>
    </w:r>
    <w:r>
      <w:rPr>
        <w:noProof/>
      </w:rPr>
      <w:fldChar w:fldCharType="end"/>
    </w:r>
  </w:p>
  <w:p w14:paraId="0910BDF6" w14:textId="77777777" w:rsidR="00EE3BFD" w:rsidRDefault="00EE3B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5ACADB" w14:textId="77777777" w:rsidR="002E266A" w:rsidRDefault="002E266A">
      <w:r>
        <w:separator/>
      </w:r>
    </w:p>
  </w:footnote>
  <w:footnote w:type="continuationSeparator" w:id="0">
    <w:p w14:paraId="73E980E6" w14:textId="77777777" w:rsidR="002E266A" w:rsidRDefault="002E2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4C687" w14:textId="4EB7FB56" w:rsidR="00EE3BFD" w:rsidRPr="00725A07" w:rsidRDefault="00725A07" w:rsidP="003C67C6">
    <w:pPr>
      <w:pStyle w:val="Nagwek"/>
      <w:jc w:val="center"/>
      <w:rPr>
        <w:rFonts w:ascii="Arial" w:hAnsi="Arial" w:cs="Arial"/>
        <w:i/>
        <w:sz w:val="18"/>
        <w:szCs w:val="18"/>
        <w:u w:val="single"/>
        <w:lang w:val="en-GB"/>
      </w:rPr>
    </w:pPr>
    <w:r w:rsidRPr="00725A07">
      <w:rPr>
        <w:rFonts w:ascii="Arial" w:hAnsi="Arial" w:cs="Arial"/>
        <w:i/>
        <w:sz w:val="18"/>
        <w:szCs w:val="18"/>
        <w:u w:val="single"/>
        <w:lang w:val="en-GB"/>
      </w:rPr>
      <w:t xml:space="preserve">Management report on activities of </w:t>
    </w:r>
    <w:proofErr w:type="spellStart"/>
    <w:r w:rsidRPr="00725A07">
      <w:rPr>
        <w:rFonts w:ascii="Arial" w:hAnsi="Arial" w:cs="Arial"/>
        <w:i/>
        <w:sz w:val="18"/>
        <w:szCs w:val="18"/>
        <w:u w:val="single"/>
        <w:lang w:val="en-GB"/>
      </w:rPr>
      <w:t>OPTeam</w:t>
    </w:r>
    <w:proofErr w:type="spellEnd"/>
    <w:r w:rsidRPr="00725A07">
      <w:rPr>
        <w:rFonts w:ascii="Arial" w:hAnsi="Arial" w:cs="Arial"/>
        <w:i/>
        <w:sz w:val="18"/>
        <w:szCs w:val="18"/>
        <w:u w:val="single"/>
        <w:lang w:val="en-GB"/>
      </w:rPr>
      <w:t xml:space="preserve"> SA in H1 of 2016</w:t>
    </w:r>
    <w:r w:rsidR="00EE3BFD" w:rsidRPr="00725A07">
      <w:rPr>
        <w:rFonts w:ascii="Arial" w:hAnsi="Arial" w:cs="Arial"/>
        <w:i/>
        <w:sz w:val="18"/>
        <w:szCs w:val="18"/>
        <w:u w:val="single"/>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7CB6F29E"/>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29952A7"/>
    <w:multiLevelType w:val="hybridMultilevel"/>
    <w:tmpl w:val="DB5E61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4DB7565"/>
    <w:multiLevelType w:val="multilevel"/>
    <w:tmpl w:val="EC5AB96A"/>
    <w:lvl w:ilvl="0">
      <w:numFmt w:val="decimalZero"/>
      <w:lvlText w:val="%1"/>
      <w:lvlJc w:val="left"/>
      <w:pPr>
        <w:ind w:left="510" w:hanging="510"/>
      </w:pPr>
      <w:rPr>
        <w:rFonts w:hint="default"/>
      </w:rPr>
    </w:lvl>
    <w:lvl w:ilvl="1">
      <w:start w:val="49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B301CE"/>
    <w:multiLevelType w:val="hybridMultilevel"/>
    <w:tmpl w:val="D37AA350"/>
    <w:lvl w:ilvl="0" w:tplc="C292E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40378E"/>
    <w:multiLevelType w:val="hybridMultilevel"/>
    <w:tmpl w:val="80F81612"/>
    <w:lvl w:ilvl="0" w:tplc="A1F848F4">
      <w:start w:val="1"/>
      <w:numFmt w:val="bullet"/>
      <w:pStyle w:val="ASSETbulLetkwadrat"/>
      <w:lvlText w:val=""/>
      <w:lvlJc w:val="left"/>
      <w:pPr>
        <w:tabs>
          <w:tab w:val="num" w:pos="644"/>
        </w:tabs>
        <w:ind w:left="644" w:hanging="360"/>
      </w:pPr>
      <w:rPr>
        <w:rFonts w:ascii="Wingdings" w:hAnsi="Wingdings" w:hint="default"/>
      </w:rPr>
    </w:lvl>
    <w:lvl w:ilvl="1" w:tplc="FC5624C6">
      <w:start w:val="1"/>
      <w:numFmt w:val="bullet"/>
      <w:pStyle w:val="ASSETbulLetkwadrat0"/>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56D5C"/>
    <w:multiLevelType w:val="hybridMultilevel"/>
    <w:tmpl w:val="5122E6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B85972"/>
    <w:multiLevelType w:val="hybridMultilevel"/>
    <w:tmpl w:val="6B2025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DB69B3"/>
    <w:multiLevelType w:val="hybridMultilevel"/>
    <w:tmpl w:val="7D5805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C52C88"/>
    <w:multiLevelType w:val="hybridMultilevel"/>
    <w:tmpl w:val="11C86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C62E6"/>
    <w:multiLevelType w:val="hybridMultilevel"/>
    <w:tmpl w:val="93360548"/>
    <w:lvl w:ilvl="0" w:tplc="9EA220C2">
      <w:start w:val="1"/>
      <w:numFmt w:val="decimal"/>
      <w:pStyle w:val="Assetnumerowanieboldem"/>
      <w:lvlText w:val="%1."/>
      <w:lvlJc w:val="left"/>
      <w:pPr>
        <w:tabs>
          <w:tab w:val="num" w:pos="360"/>
        </w:tabs>
        <w:ind w:left="360" w:hanging="360"/>
      </w:pPr>
      <w:rPr>
        <w:rFonts w:hint="default"/>
      </w:rPr>
    </w:lvl>
    <w:lvl w:ilvl="1" w:tplc="04150019">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10" w15:restartNumberingAfterBreak="0">
    <w:nsid w:val="2D235EDA"/>
    <w:multiLevelType w:val="hybridMultilevel"/>
    <w:tmpl w:val="37F2CA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801B2C"/>
    <w:multiLevelType w:val="hybridMultilevel"/>
    <w:tmpl w:val="3CD4F314"/>
    <w:lvl w:ilvl="0" w:tplc="19D8BD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EC17005"/>
    <w:multiLevelType w:val="hybridMultilevel"/>
    <w:tmpl w:val="306ACB7C"/>
    <w:lvl w:ilvl="0" w:tplc="571892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2CC7B96"/>
    <w:multiLevelType w:val="hybridMultilevel"/>
    <w:tmpl w:val="F536E0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874D27"/>
    <w:multiLevelType w:val="multilevel"/>
    <w:tmpl w:val="6B66AC7E"/>
    <w:lvl w:ilvl="0">
      <w:start w:val="1"/>
      <w:numFmt w:val="decimal"/>
      <w:lvlText w:val="%1."/>
      <w:lvlJc w:val="left"/>
      <w:pPr>
        <w:ind w:left="360" w:hanging="360"/>
      </w:pPr>
      <w:rPr>
        <w:rFonts w:hint="default"/>
      </w:rPr>
    </w:lvl>
    <w:lvl w:ilvl="1">
      <w:start w:val="1"/>
      <w:numFmt w:val="decimal"/>
      <w:isLgl/>
      <w:lvlText w:val="%1.%2."/>
      <w:lvlJc w:val="left"/>
      <w:pPr>
        <w:ind w:left="1773" w:hanging="720"/>
      </w:pPr>
      <w:rPr>
        <w:rFonts w:hint="default"/>
      </w:rPr>
    </w:lvl>
    <w:lvl w:ilvl="2">
      <w:start w:val="1"/>
      <w:numFmt w:val="decimal"/>
      <w:isLgl/>
      <w:lvlText w:val="%1.%2.%3."/>
      <w:lvlJc w:val="left"/>
      <w:pPr>
        <w:ind w:left="2684" w:hanging="720"/>
      </w:pPr>
      <w:rPr>
        <w:rFonts w:hint="default"/>
      </w:rPr>
    </w:lvl>
    <w:lvl w:ilvl="3">
      <w:start w:val="1"/>
      <w:numFmt w:val="decimal"/>
      <w:isLgl/>
      <w:lvlText w:val="%1.%2.%3.%4."/>
      <w:lvlJc w:val="left"/>
      <w:pPr>
        <w:ind w:left="3955" w:hanging="1080"/>
      </w:pPr>
      <w:rPr>
        <w:rFonts w:hint="default"/>
      </w:rPr>
    </w:lvl>
    <w:lvl w:ilvl="4">
      <w:start w:val="1"/>
      <w:numFmt w:val="decimal"/>
      <w:isLgl/>
      <w:lvlText w:val="%1.%2.%3.%4.%5."/>
      <w:lvlJc w:val="left"/>
      <w:pPr>
        <w:ind w:left="4866" w:hanging="1080"/>
      </w:pPr>
      <w:rPr>
        <w:rFonts w:hint="default"/>
      </w:rPr>
    </w:lvl>
    <w:lvl w:ilvl="5">
      <w:start w:val="1"/>
      <w:numFmt w:val="decimal"/>
      <w:isLgl/>
      <w:lvlText w:val="%1.%2.%3.%4.%5.%6."/>
      <w:lvlJc w:val="left"/>
      <w:pPr>
        <w:ind w:left="6137" w:hanging="1440"/>
      </w:pPr>
      <w:rPr>
        <w:rFonts w:hint="default"/>
      </w:rPr>
    </w:lvl>
    <w:lvl w:ilvl="6">
      <w:start w:val="1"/>
      <w:numFmt w:val="decimal"/>
      <w:isLgl/>
      <w:lvlText w:val="%1.%2.%3.%4.%5.%6.%7."/>
      <w:lvlJc w:val="left"/>
      <w:pPr>
        <w:ind w:left="7048" w:hanging="1440"/>
      </w:pPr>
      <w:rPr>
        <w:rFonts w:hint="default"/>
      </w:rPr>
    </w:lvl>
    <w:lvl w:ilvl="7">
      <w:start w:val="1"/>
      <w:numFmt w:val="decimal"/>
      <w:isLgl/>
      <w:lvlText w:val="%1.%2.%3.%4.%5.%6.%7.%8."/>
      <w:lvlJc w:val="left"/>
      <w:pPr>
        <w:ind w:left="8319" w:hanging="1800"/>
      </w:pPr>
      <w:rPr>
        <w:rFonts w:hint="default"/>
      </w:rPr>
    </w:lvl>
    <w:lvl w:ilvl="8">
      <w:start w:val="1"/>
      <w:numFmt w:val="decimal"/>
      <w:isLgl/>
      <w:lvlText w:val="%1.%2.%3.%4.%5.%6.%7.%8.%9."/>
      <w:lvlJc w:val="left"/>
      <w:pPr>
        <w:ind w:left="9230" w:hanging="1800"/>
      </w:pPr>
      <w:rPr>
        <w:rFonts w:hint="default"/>
      </w:rPr>
    </w:lvl>
  </w:abstractNum>
  <w:abstractNum w:abstractNumId="15" w15:restartNumberingAfterBreak="0">
    <w:nsid w:val="3AD54B68"/>
    <w:multiLevelType w:val="hybridMultilevel"/>
    <w:tmpl w:val="17B84F56"/>
    <w:lvl w:ilvl="0" w:tplc="467C77F6">
      <w:start w:val="1"/>
      <w:numFmt w:val="decimal"/>
      <w:lvlText w:val="%1."/>
      <w:lvlJc w:val="left"/>
      <w:pPr>
        <w:ind w:left="720"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F0405D68">
      <w:start w:val="1"/>
      <w:numFmt w:val="lowerLetter"/>
      <w:lvlText w:val="%4)"/>
      <w:lvlJc w:val="left"/>
      <w:pPr>
        <w:tabs>
          <w:tab w:val="num" w:pos="2880"/>
        </w:tabs>
        <w:ind w:left="2880" w:hanging="36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3E1C670C"/>
    <w:multiLevelType w:val="multilevel"/>
    <w:tmpl w:val="78CC9182"/>
    <w:lvl w:ilvl="0">
      <w:start w:val="1"/>
      <w:numFmt w:val="decimal"/>
      <w:pStyle w:val="1HLBnumerowanie"/>
      <w:lvlText w:val="%1."/>
      <w:lvlJc w:val="left"/>
      <w:pPr>
        <w:tabs>
          <w:tab w:val="num" w:pos="425"/>
        </w:tabs>
        <w:ind w:left="425" w:hanging="425"/>
      </w:pPr>
      <w:rPr>
        <w:rFonts w:hint="default"/>
      </w:rPr>
    </w:lvl>
    <w:lvl w:ilvl="1">
      <w:start w:val="1"/>
      <w:numFmt w:val="decimal"/>
      <w:pStyle w:val="2HLBnumerowanie"/>
      <w:lvlText w:val="%1.%2."/>
      <w:lvlJc w:val="left"/>
      <w:pPr>
        <w:tabs>
          <w:tab w:val="num" w:pos="992"/>
        </w:tabs>
        <w:ind w:left="995" w:hanging="570"/>
      </w:pPr>
      <w:rPr>
        <w:rFonts w:hint="default"/>
      </w:rPr>
    </w:lvl>
    <w:lvl w:ilvl="2">
      <w:start w:val="1"/>
      <w:numFmt w:val="decimal"/>
      <w:pStyle w:val="3HLBnumerowanie"/>
      <w:lvlText w:val="%1.%2.%3."/>
      <w:lvlJc w:val="left"/>
      <w:pPr>
        <w:tabs>
          <w:tab w:val="num" w:pos="1701"/>
        </w:tabs>
        <w:ind w:left="1701" w:hanging="709"/>
      </w:pPr>
      <w:rPr>
        <w:rFonts w:hint="default"/>
      </w:rPr>
    </w:lvl>
    <w:lvl w:ilvl="3">
      <w:start w:val="1"/>
      <w:numFmt w:val="decimal"/>
      <w:pStyle w:val="4HLBnumerowanie"/>
      <w:lvlText w:val="%1.%2.%3.%4."/>
      <w:lvlJc w:val="left"/>
      <w:pPr>
        <w:tabs>
          <w:tab w:val="num" w:pos="2552"/>
        </w:tabs>
        <w:ind w:left="2552" w:hanging="851"/>
      </w:pPr>
      <w:rPr>
        <w:rFonts w:hint="default"/>
      </w:rPr>
    </w:lvl>
    <w:lvl w:ilvl="4">
      <w:start w:val="1"/>
      <w:numFmt w:val="decimal"/>
      <w:lvlText w:val="%1.%2.%3.%4.%5"/>
      <w:lvlJc w:val="left"/>
      <w:pPr>
        <w:tabs>
          <w:tab w:val="num" w:pos="2992"/>
        </w:tabs>
        <w:ind w:left="2992" w:hanging="1008"/>
      </w:pPr>
      <w:rPr>
        <w:rFonts w:hint="default"/>
      </w:rPr>
    </w:lvl>
    <w:lvl w:ilvl="5">
      <w:start w:val="1"/>
      <w:numFmt w:val="decimal"/>
      <w:lvlText w:val="%1.%2.%3.%4.%5.%6"/>
      <w:lvlJc w:val="left"/>
      <w:pPr>
        <w:tabs>
          <w:tab w:val="num" w:pos="3136"/>
        </w:tabs>
        <w:ind w:left="3136" w:hanging="1152"/>
      </w:pPr>
      <w:rPr>
        <w:rFonts w:hint="default"/>
      </w:rPr>
    </w:lvl>
    <w:lvl w:ilvl="6">
      <w:start w:val="1"/>
      <w:numFmt w:val="decimal"/>
      <w:lvlText w:val="%1.%2.%3.%4.%5.%6.%7"/>
      <w:lvlJc w:val="left"/>
      <w:pPr>
        <w:tabs>
          <w:tab w:val="num" w:pos="3280"/>
        </w:tabs>
        <w:ind w:left="3280" w:hanging="1296"/>
      </w:pPr>
      <w:rPr>
        <w:rFonts w:hint="default"/>
      </w:rPr>
    </w:lvl>
    <w:lvl w:ilvl="7">
      <w:start w:val="1"/>
      <w:numFmt w:val="decimal"/>
      <w:lvlText w:val="%1.%2.%3.%4.%5.%6.%7.%8"/>
      <w:lvlJc w:val="left"/>
      <w:pPr>
        <w:tabs>
          <w:tab w:val="num" w:pos="3424"/>
        </w:tabs>
        <w:ind w:left="3424" w:hanging="1440"/>
      </w:pPr>
      <w:rPr>
        <w:rFonts w:hint="default"/>
      </w:rPr>
    </w:lvl>
    <w:lvl w:ilvl="8">
      <w:start w:val="1"/>
      <w:numFmt w:val="decimal"/>
      <w:lvlText w:val="%1.%2.%3.%4.%5.%6.%7.%8.%9"/>
      <w:lvlJc w:val="left"/>
      <w:pPr>
        <w:tabs>
          <w:tab w:val="num" w:pos="3568"/>
        </w:tabs>
        <w:ind w:left="3568" w:hanging="1584"/>
      </w:pPr>
      <w:rPr>
        <w:rFonts w:hint="default"/>
      </w:rPr>
    </w:lvl>
  </w:abstractNum>
  <w:abstractNum w:abstractNumId="17" w15:restartNumberingAfterBreak="0">
    <w:nsid w:val="3F043DEE"/>
    <w:multiLevelType w:val="hybridMultilevel"/>
    <w:tmpl w:val="FF5C1F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ED2FBB"/>
    <w:multiLevelType w:val="hybridMultilevel"/>
    <w:tmpl w:val="00D2B4F6"/>
    <w:lvl w:ilvl="0" w:tplc="F43C3B0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3ED1479"/>
    <w:multiLevelType w:val="hybridMultilevel"/>
    <w:tmpl w:val="5A502FF4"/>
    <w:lvl w:ilvl="0" w:tplc="19D8BD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0B4E11"/>
    <w:multiLevelType w:val="hybridMultilevel"/>
    <w:tmpl w:val="555408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528A39FA"/>
    <w:multiLevelType w:val="multilevel"/>
    <w:tmpl w:val="E28E0F24"/>
    <w:lvl w:ilvl="0">
      <w:start w:val="1"/>
      <w:numFmt w:val="upperLetter"/>
      <w:lvlText w:val="%1."/>
      <w:lvlJc w:val="left"/>
      <w:pPr>
        <w:tabs>
          <w:tab w:val="num" w:pos="786"/>
        </w:tabs>
        <w:ind w:left="786" w:hanging="360"/>
      </w:pPr>
      <w:rPr>
        <w:rFonts w:cs="Times New Roman" w:hint="default"/>
        <w:b/>
        <w:bCs w:val="0"/>
        <w:i/>
        <w:iCs/>
        <w:caps/>
        <w:strike w:val="0"/>
        <w:dstrike w:val="0"/>
        <w:vanish w:val="0"/>
        <w:color w:val="595959"/>
        <w:sz w:val="28"/>
        <w:szCs w:val="28"/>
        <w:u w:val="none"/>
      </w:rPr>
    </w:lvl>
    <w:lvl w:ilvl="1">
      <w:start w:val="1"/>
      <w:numFmt w:val="decimal"/>
      <w:lvlText w:val="%1.%2."/>
      <w:lvlJc w:val="left"/>
      <w:pPr>
        <w:tabs>
          <w:tab w:val="num" w:pos="539"/>
        </w:tabs>
        <w:ind w:left="539" w:hanging="113"/>
      </w:pPr>
      <w:rPr>
        <w:rFonts w:cs="Times New Roman" w:hint="default"/>
        <w:sz w:val="24"/>
        <w:szCs w:val="24"/>
      </w:rPr>
    </w:lvl>
    <w:lvl w:ilvl="2">
      <w:start w:val="1"/>
      <w:numFmt w:val="decimal"/>
      <w:lvlText w:val="%1.%2.%3."/>
      <w:lvlJc w:val="left"/>
      <w:pPr>
        <w:tabs>
          <w:tab w:val="num" w:pos="1866"/>
        </w:tabs>
        <w:ind w:left="1650" w:hanging="504"/>
      </w:pPr>
      <w:rPr>
        <w:rFonts w:cs="Times New Roman" w:hint="default"/>
      </w:rPr>
    </w:lvl>
    <w:lvl w:ilvl="3">
      <w:start w:val="1"/>
      <w:numFmt w:val="decimal"/>
      <w:lvlText w:val="%1.%2.%3.%4."/>
      <w:lvlJc w:val="left"/>
      <w:pPr>
        <w:tabs>
          <w:tab w:val="num" w:pos="2226"/>
        </w:tabs>
        <w:ind w:left="2154" w:hanging="648"/>
      </w:pPr>
      <w:rPr>
        <w:rFonts w:cs="Times New Roman" w:hint="default"/>
      </w:rPr>
    </w:lvl>
    <w:lvl w:ilvl="4">
      <w:start w:val="1"/>
      <w:numFmt w:val="decimal"/>
      <w:lvlText w:val="%1.%2.%3.%4.%5."/>
      <w:lvlJc w:val="left"/>
      <w:pPr>
        <w:tabs>
          <w:tab w:val="num" w:pos="2946"/>
        </w:tabs>
        <w:ind w:left="2658" w:hanging="792"/>
      </w:pPr>
      <w:rPr>
        <w:rFonts w:cs="Times New Roman" w:hint="default"/>
      </w:rPr>
    </w:lvl>
    <w:lvl w:ilvl="5">
      <w:start w:val="1"/>
      <w:numFmt w:val="decimal"/>
      <w:lvlText w:val="%1.%2.%3.%4.%5.%6."/>
      <w:lvlJc w:val="left"/>
      <w:pPr>
        <w:tabs>
          <w:tab w:val="num" w:pos="3306"/>
        </w:tabs>
        <w:ind w:left="3162" w:hanging="936"/>
      </w:pPr>
      <w:rPr>
        <w:rFonts w:cs="Times New Roman" w:hint="default"/>
      </w:rPr>
    </w:lvl>
    <w:lvl w:ilvl="6">
      <w:start w:val="1"/>
      <w:numFmt w:val="decimal"/>
      <w:lvlText w:val="%1.%2.%3.%4.%5.%6.%7."/>
      <w:lvlJc w:val="left"/>
      <w:pPr>
        <w:tabs>
          <w:tab w:val="num" w:pos="4026"/>
        </w:tabs>
        <w:ind w:left="3666" w:hanging="1080"/>
      </w:pPr>
      <w:rPr>
        <w:rFonts w:cs="Times New Roman" w:hint="default"/>
      </w:rPr>
    </w:lvl>
    <w:lvl w:ilvl="7">
      <w:start w:val="1"/>
      <w:numFmt w:val="decimal"/>
      <w:lvlText w:val="%1.%2.%3.%4.%5.%6.%7.%8."/>
      <w:lvlJc w:val="left"/>
      <w:pPr>
        <w:tabs>
          <w:tab w:val="num" w:pos="4386"/>
        </w:tabs>
        <w:ind w:left="4170" w:hanging="1224"/>
      </w:pPr>
      <w:rPr>
        <w:rFonts w:cs="Times New Roman" w:hint="default"/>
      </w:rPr>
    </w:lvl>
    <w:lvl w:ilvl="8">
      <w:start w:val="1"/>
      <w:numFmt w:val="decimal"/>
      <w:lvlText w:val="%1.%2.%3.%4.%5.%6.%7.%8.%9."/>
      <w:lvlJc w:val="left"/>
      <w:pPr>
        <w:tabs>
          <w:tab w:val="num" w:pos="5106"/>
        </w:tabs>
        <w:ind w:left="4746" w:hanging="1440"/>
      </w:pPr>
      <w:rPr>
        <w:rFonts w:cs="Times New Roman" w:hint="default"/>
      </w:rPr>
    </w:lvl>
  </w:abstractNum>
  <w:abstractNum w:abstractNumId="22" w15:restartNumberingAfterBreak="0">
    <w:nsid w:val="52E1456B"/>
    <w:multiLevelType w:val="hybridMultilevel"/>
    <w:tmpl w:val="D08ADBD2"/>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0597EBE"/>
    <w:multiLevelType w:val="hybridMultilevel"/>
    <w:tmpl w:val="C8F26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476B64"/>
    <w:multiLevelType w:val="hybridMultilevel"/>
    <w:tmpl w:val="2DF211D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F82B40"/>
    <w:multiLevelType w:val="hybridMultilevel"/>
    <w:tmpl w:val="E7D69D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033D33"/>
    <w:multiLevelType w:val="hybridMultilevel"/>
    <w:tmpl w:val="21B0A324"/>
    <w:lvl w:ilvl="0" w:tplc="366E863E">
      <w:start w:val="1"/>
      <w:numFmt w:val="bullet"/>
      <w:pStyle w:val="ASSETbulLetkreska"/>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53A7BDD"/>
    <w:multiLevelType w:val="hybridMultilevel"/>
    <w:tmpl w:val="7D4E79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3C6FDC"/>
    <w:multiLevelType w:val="hybridMultilevel"/>
    <w:tmpl w:val="FBF23AC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A3355D1"/>
    <w:multiLevelType w:val="multilevel"/>
    <w:tmpl w:val="DE946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2A586D"/>
    <w:multiLevelType w:val="multilevel"/>
    <w:tmpl w:val="6B66AC7E"/>
    <w:lvl w:ilvl="0">
      <w:start w:val="1"/>
      <w:numFmt w:val="decimal"/>
      <w:lvlText w:val="%1."/>
      <w:lvlJc w:val="left"/>
      <w:pPr>
        <w:ind w:left="360" w:hanging="360"/>
      </w:pPr>
      <w:rPr>
        <w:rFonts w:hint="default"/>
      </w:rPr>
    </w:lvl>
    <w:lvl w:ilvl="1">
      <w:start w:val="1"/>
      <w:numFmt w:val="decimal"/>
      <w:isLgl/>
      <w:lvlText w:val="%1.%2."/>
      <w:lvlJc w:val="left"/>
      <w:pPr>
        <w:ind w:left="1773" w:hanging="720"/>
      </w:pPr>
      <w:rPr>
        <w:rFonts w:hint="default"/>
      </w:rPr>
    </w:lvl>
    <w:lvl w:ilvl="2">
      <w:start w:val="1"/>
      <w:numFmt w:val="decimal"/>
      <w:isLgl/>
      <w:lvlText w:val="%1.%2.%3."/>
      <w:lvlJc w:val="left"/>
      <w:pPr>
        <w:ind w:left="2684" w:hanging="720"/>
      </w:pPr>
      <w:rPr>
        <w:rFonts w:hint="default"/>
      </w:rPr>
    </w:lvl>
    <w:lvl w:ilvl="3">
      <w:start w:val="1"/>
      <w:numFmt w:val="decimal"/>
      <w:isLgl/>
      <w:lvlText w:val="%1.%2.%3.%4."/>
      <w:lvlJc w:val="left"/>
      <w:pPr>
        <w:ind w:left="3955" w:hanging="1080"/>
      </w:pPr>
      <w:rPr>
        <w:rFonts w:hint="default"/>
      </w:rPr>
    </w:lvl>
    <w:lvl w:ilvl="4">
      <w:start w:val="1"/>
      <w:numFmt w:val="decimal"/>
      <w:isLgl/>
      <w:lvlText w:val="%1.%2.%3.%4.%5."/>
      <w:lvlJc w:val="left"/>
      <w:pPr>
        <w:ind w:left="4866" w:hanging="1080"/>
      </w:pPr>
      <w:rPr>
        <w:rFonts w:hint="default"/>
      </w:rPr>
    </w:lvl>
    <w:lvl w:ilvl="5">
      <w:start w:val="1"/>
      <w:numFmt w:val="decimal"/>
      <w:isLgl/>
      <w:lvlText w:val="%1.%2.%3.%4.%5.%6."/>
      <w:lvlJc w:val="left"/>
      <w:pPr>
        <w:ind w:left="6137" w:hanging="1440"/>
      </w:pPr>
      <w:rPr>
        <w:rFonts w:hint="default"/>
      </w:rPr>
    </w:lvl>
    <w:lvl w:ilvl="6">
      <w:start w:val="1"/>
      <w:numFmt w:val="decimal"/>
      <w:isLgl/>
      <w:lvlText w:val="%1.%2.%3.%4.%5.%6.%7."/>
      <w:lvlJc w:val="left"/>
      <w:pPr>
        <w:ind w:left="7048" w:hanging="1440"/>
      </w:pPr>
      <w:rPr>
        <w:rFonts w:hint="default"/>
      </w:rPr>
    </w:lvl>
    <w:lvl w:ilvl="7">
      <w:start w:val="1"/>
      <w:numFmt w:val="decimal"/>
      <w:isLgl/>
      <w:lvlText w:val="%1.%2.%3.%4.%5.%6.%7.%8."/>
      <w:lvlJc w:val="left"/>
      <w:pPr>
        <w:ind w:left="8319" w:hanging="1800"/>
      </w:pPr>
      <w:rPr>
        <w:rFonts w:hint="default"/>
      </w:rPr>
    </w:lvl>
    <w:lvl w:ilvl="8">
      <w:start w:val="1"/>
      <w:numFmt w:val="decimal"/>
      <w:isLgl/>
      <w:lvlText w:val="%1.%2.%3.%4.%5.%6.%7.%8.%9."/>
      <w:lvlJc w:val="left"/>
      <w:pPr>
        <w:ind w:left="9230" w:hanging="1800"/>
      </w:pPr>
      <w:rPr>
        <w:rFonts w:hint="default"/>
      </w:rPr>
    </w:lvl>
  </w:abstractNum>
  <w:num w:numId="1">
    <w:abstractNumId w:val="9"/>
  </w:num>
  <w:num w:numId="2">
    <w:abstractNumId w:val="0"/>
  </w:num>
  <w:num w:numId="3">
    <w:abstractNumId w:val="16"/>
  </w:num>
  <w:num w:numId="4">
    <w:abstractNumId w:val="4"/>
  </w:num>
  <w:num w:numId="5">
    <w:abstractNumId w:val="26"/>
  </w:num>
  <w:num w:numId="6">
    <w:abstractNumId w:val="5"/>
  </w:num>
  <w:num w:numId="7">
    <w:abstractNumId w:val="18"/>
  </w:num>
  <w:num w:numId="8">
    <w:abstractNumId w:val="30"/>
  </w:num>
  <w:num w:numId="9">
    <w:abstractNumId w:val="27"/>
  </w:num>
  <w:num w:numId="10">
    <w:abstractNumId w:val="1"/>
  </w:num>
  <w:num w:numId="11">
    <w:abstractNumId w:val="15"/>
  </w:num>
  <w:num w:numId="12">
    <w:abstractNumId w:val="28"/>
  </w:num>
  <w:num w:numId="13">
    <w:abstractNumId w:val="12"/>
  </w:num>
  <w:num w:numId="14">
    <w:abstractNumId w:val="20"/>
  </w:num>
  <w:num w:numId="15">
    <w:abstractNumId w:val="24"/>
  </w:num>
  <w:num w:numId="16">
    <w:abstractNumId w:val="2"/>
  </w:num>
  <w:num w:numId="17">
    <w:abstractNumId w:val="14"/>
  </w:num>
  <w:num w:numId="18">
    <w:abstractNumId w:val="9"/>
  </w:num>
  <w:num w:numId="19">
    <w:abstractNumId w:val="9"/>
  </w:num>
  <w:num w:numId="20">
    <w:abstractNumId w:val="21"/>
  </w:num>
  <w:num w:numId="21">
    <w:abstractNumId w:val="29"/>
  </w:num>
  <w:num w:numId="22">
    <w:abstractNumId w:val="10"/>
  </w:num>
  <w:num w:numId="23">
    <w:abstractNumId w:val="11"/>
  </w:num>
  <w:num w:numId="24">
    <w:abstractNumId w:val="8"/>
  </w:num>
  <w:num w:numId="25">
    <w:abstractNumId w:val="19"/>
  </w:num>
  <w:num w:numId="26">
    <w:abstractNumId w:val="25"/>
  </w:num>
  <w:num w:numId="27">
    <w:abstractNumId w:val="17"/>
  </w:num>
  <w:num w:numId="28">
    <w:abstractNumId w:val="6"/>
  </w:num>
  <w:num w:numId="29">
    <w:abstractNumId w:val="3"/>
  </w:num>
  <w:num w:numId="30">
    <w:abstractNumId w:val="23"/>
  </w:num>
  <w:num w:numId="31">
    <w:abstractNumId w:val="13"/>
  </w:num>
  <w:num w:numId="32">
    <w:abstractNumId w:val="7"/>
  </w:num>
  <w:num w:numId="3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79F"/>
    <w:rsid w:val="00003450"/>
    <w:rsid w:val="000064BE"/>
    <w:rsid w:val="00006723"/>
    <w:rsid w:val="00010663"/>
    <w:rsid w:val="00012666"/>
    <w:rsid w:val="000128F9"/>
    <w:rsid w:val="00014AC7"/>
    <w:rsid w:val="00014C93"/>
    <w:rsid w:val="00016F09"/>
    <w:rsid w:val="0002240D"/>
    <w:rsid w:val="000224C8"/>
    <w:rsid w:val="0002407C"/>
    <w:rsid w:val="000254BD"/>
    <w:rsid w:val="0002589A"/>
    <w:rsid w:val="00026CEE"/>
    <w:rsid w:val="00037725"/>
    <w:rsid w:val="00037AA5"/>
    <w:rsid w:val="000401DB"/>
    <w:rsid w:val="00041014"/>
    <w:rsid w:val="000419B9"/>
    <w:rsid w:val="000419C0"/>
    <w:rsid w:val="000420C4"/>
    <w:rsid w:val="000422CF"/>
    <w:rsid w:val="00042706"/>
    <w:rsid w:val="00044A5C"/>
    <w:rsid w:val="00047C21"/>
    <w:rsid w:val="00053607"/>
    <w:rsid w:val="0005447A"/>
    <w:rsid w:val="00055868"/>
    <w:rsid w:val="00057813"/>
    <w:rsid w:val="00062B32"/>
    <w:rsid w:val="000633E2"/>
    <w:rsid w:val="00065F4F"/>
    <w:rsid w:val="000667AF"/>
    <w:rsid w:val="00066E31"/>
    <w:rsid w:val="0006782E"/>
    <w:rsid w:val="000707B7"/>
    <w:rsid w:val="00070AFC"/>
    <w:rsid w:val="00071741"/>
    <w:rsid w:val="00071FE5"/>
    <w:rsid w:val="00072DC5"/>
    <w:rsid w:val="00073477"/>
    <w:rsid w:val="000747E7"/>
    <w:rsid w:val="0007485B"/>
    <w:rsid w:val="00076DBA"/>
    <w:rsid w:val="00076EBC"/>
    <w:rsid w:val="0007749F"/>
    <w:rsid w:val="0008001F"/>
    <w:rsid w:val="0008005A"/>
    <w:rsid w:val="00084030"/>
    <w:rsid w:val="00085D4C"/>
    <w:rsid w:val="000873B3"/>
    <w:rsid w:val="00090100"/>
    <w:rsid w:val="0009148B"/>
    <w:rsid w:val="000916CF"/>
    <w:rsid w:val="0009338C"/>
    <w:rsid w:val="00093986"/>
    <w:rsid w:val="00093C31"/>
    <w:rsid w:val="00094347"/>
    <w:rsid w:val="00094609"/>
    <w:rsid w:val="00094643"/>
    <w:rsid w:val="00094B34"/>
    <w:rsid w:val="00094FCE"/>
    <w:rsid w:val="000A18DA"/>
    <w:rsid w:val="000A2AA0"/>
    <w:rsid w:val="000B2D3D"/>
    <w:rsid w:val="000B2D5D"/>
    <w:rsid w:val="000B4D37"/>
    <w:rsid w:val="000B52A2"/>
    <w:rsid w:val="000C0B35"/>
    <w:rsid w:val="000C4352"/>
    <w:rsid w:val="000C5768"/>
    <w:rsid w:val="000C5AA9"/>
    <w:rsid w:val="000C623A"/>
    <w:rsid w:val="000C6C9C"/>
    <w:rsid w:val="000D01F9"/>
    <w:rsid w:val="000D380E"/>
    <w:rsid w:val="000D4B39"/>
    <w:rsid w:val="000D5E5A"/>
    <w:rsid w:val="000D717E"/>
    <w:rsid w:val="000E18FF"/>
    <w:rsid w:val="000E2033"/>
    <w:rsid w:val="000E28EF"/>
    <w:rsid w:val="000E4B30"/>
    <w:rsid w:val="000E5559"/>
    <w:rsid w:val="000E5A9B"/>
    <w:rsid w:val="000F1BB1"/>
    <w:rsid w:val="000F28E9"/>
    <w:rsid w:val="000F2D02"/>
    <w:rsid w:val="000F48BD"/>
    <w:rsid w:val="000F68CA"/>
    <w:rsid w:val="000F70AE"/>
    <w:rsid w:val="00100297"/>
    <w:rsid w:val="0010177B"/>
    <w:rsid w:val="001027A6"/>
    <w:rsid w:val="00104BCB"/>
    <w:rsid w:val="00105414"/>
    <w:rsid w:val="0010679C"/>
    <w:rsid w:val="001067F8"/>
    <w:rsid w:val="00113528"/>
    <w:rsid w:val="001141C0"/>
    <w:rsid w:val="0011636F"/>
    <w:rsid w:val="00117EB7"/>
    <w:rsid w:val="0012031A"/>
    <w:rsid w:val="00120C09"/>
    <w:rsid w:val="00121175"/>
    <w:rsid w:val="00122A22"/>
    <w:rsid w:val="0012385D"/>
    <w:rsid w:val="00127A83"/>
    <w:rsid w:val="001320D3"/>
    <w:rsid w:val="00135476"/>
    <w:rsid w:val="00140E7F"/>
    <w:rsid w:val="00141B54"/>
    <w:rsid w:val="00141FC5"/>
    <w:rsid w:val="00144FF3"/>
    <w:rsid w:val="001472D8"/>
    <w:rsid w:val="001474EE"/>
    <w:rsid w:val="001479B4"/>
    <w:rsid w:val="00150553"/>
    <w:rsid w:val="00151BD1"/>
    <w:rsid w:val="00151DAA"/>
    <w:rsid w:val="00153AB8"/>
    <w:rsid w:val="00153B0C"/>
    <w:rsid w:val="00154277"/>
    <w:rsid w:val="00164762"/>
    <w:rsid w:val="00165FC9"/>
    <w:rsid w:val="00167D48"/>
    <w:rsid w:val="0017025D"/>
    <w:rsid w:val="0017149F"/>
    <w:rsid w:val="0017178C"/>
    <w:rsid w:val="001718C0"/>
    <w:rsid w:val="00171A92"/>
    <w:rsid w:val="00172790"/>
    <w:rsid w:val="001727DA"/>
    <w:rsid w:val="0017586A"/>
    <w:rsid w:val="00175DEA"/>
    <w:rsid w:val="001762B4"/>
    <w:rsid w:val="0017702E"/>
    <w:rsid w:val="001775F9"/>
    <w:rsid w:val="00180DA2"/>
    <w:rsid w:val="001830D5"/>
    <w:rsid w:val="00183192"/>
    <w:rsid w:val="00183468"/>
    <w:rsid w:val="00183770"/>
    <w:rsid w:val="001847DF"/>
    <w:rsid w:val="00184DB6"/>
    <w:rsid w:val="00187247"/>
    <w:rsid w:val="0019062A"/>
    <w:rsid w:val="001A1562"/>
    <w:rsid w:val="001A2B4A"/>
    <w:rsid w:val="001A46AD"/>
    <w:rsid w:val="001A4C3C"/>
    <w:rsid w:val="001A4E87"/>
    <w:rsid w:val="001A5499"/>
    <w:rsid w:val="001A6F8C"/>
    <w:rsid w:val="001A7056"/>
    <w:rsid w:val="001A7D2B"/>
    <w:rsid w:val="001B0613"/>
    <w:rsid w:val="001B0DF2"/>
    <w:rsid w:val="001B186F"/>
    <w:rsid w:val="001B3321"/>
    <w:rsid w:val="001B33C0"/>
    <w:rsid w:val="001B34FE"/>
    <w:rsid w:val="001B35C1"/>
    <w:rsid w:val="001B6532"/>
    <w:rsid w:val="001C0ABF"/>
    <w:rsid w:val="001C18DA"/>
    <w:rsid w:val="001C2300"/>
    <w:rsid w:val="001C3E05"/>
    <w:rsid w:val="001C4F68"/>
    <w:rsid w:val="001C516A"/>
    <w:rsid w:val="001C536F"/>
    <w:rsid w:val="001C5AC1"/>
    <w:rsid w:val="001C7B8F"/>
    <w:rsid w:val="001D029A"/>
    <w:rsid w:val="001D1C59"/>
    <w:rsid w:val="001D20A7"/>
    <w:rsid w:val="001D3DF0"/>
    <w:rsid w:val="001D4503"/>
    <w:rsid w:val="001D5771"/>
    <w:rsid w:val="001D594A"/>
    <w:rsid w:val="001D5E17"/>
    <w:rsid w:val="001D6964"/>
    <w:rsid w:val="001E11AD"/>
    <w:rsid w:val="001E2608"/>
    <w:rsid w:val="001E2628"/>
    <w:rsid w:val="001E3D51"/>
    <w:rsid w:val="001E4E00"/>
    <w:rsid w:val="001E6C32"/>
    <w:rsid w:val="001E71CA"/>
    <w:rsid w:val="001E76F0"/>
    <w:rsid w:val="001F1E98"/>
    <w:rsid w:val="001F3A3A"/>
    <w:rsid w:val="001F3B29"/>
    <w:rsid w:val="001F4499"/>
    <w:rsid w:val="001F5F44"/>
    <w:rsid w:val="00203C95"/>
    <w:rsid w:val="00203F01"/>
    <w:rsid w:val="00205B35"/>
    <w:rsid w:val="002072BC"/>
    <w:rsid w:val="00207F72"/>
    <w:rsid w:val="002103C4"/>
    <w:rsid w:val="00210887"/>
    <w:rsid w:val="00210FFC"/>
    <w:rsid w:val="00211590"/>
    <w:rsid w:val="002118BC"/>
    <w:rsid w:val="00213911"/>
    <w:rsid w:val="00213F86"/>
    <w:rsid w:val="00215593"/>
    <w:rsid w:val="0022106B"/>
    <w:rsid w:val="00222DFF"/>
    <w:rsid w:val="00225F91"/>
    <w:rsid w:val="00227D21"/>
    <w:rsid w:val="00233284"/>
    <w:rsid w:val="00240C17"/>
    <w:rsid w:val="00243698"/>
    <w:rsid w:val="002452AB"/>
    <w:rsid w:val="00245340"/>
    <w:rsid w:val="00246EEB"/>
    <w:rsid w:val="00247F99"/>
    <w:rsid w:val="002503E5"/>
    <w:rsid w:val="0025070A"/>
    <w:rsid w:val="00252F7C"/>
    <w:rsid w:val="00255268"/>
    <w:rsid w:val="00256218"/>
    <w:rsid w:val="00256F37"/>
    <w:rsid w:val="00261F61"/>
    <w:rsid w:val="00264486"/>
    <w:rsid w:val="0026459C"/>
    <w:rsid w:val="00266252"/>
    <w:rsid w:val="002663BB"/>
    <w:rsid w:val="00266B58"/>
    <w:rsid w:val="0027157A"/>
    <w:rsid w:val="00271A16"/>
    <w:rsid w:val="00271E53"/>
    <w:rsid w:val="00273D8B"/>
    <w:rsid w:val="0027534F"/>
    <w:rsid w:val="00283B0D"/>
    <w:rsid w:val="00284004"/>
    <w:rsid w:val="00284411"/>
    <w:rsid w:val="00285F24"/>
    <w:rsid w:val="0028768D"/>
    <w:rsid w:val="00290F85"/>
    <w:rsid w:val="0029207D"/>
    <w:rsid w:val="00292AB2"/>
    <w:rsid w:val="00293BD6"/>
    <w:rsid w:val="00294571"/>
    <w:rsid w:val="00294FB1"/>
    <w:rsid w:val="00295F95"/>
    <w:rsid w:val="002A130B"/>
    <w:rsid w:val="002A53D4"/>
    <w:rsid w:val="002A6C67"/>
    <w:rsid w:val="002B037C"/>
    <w:rsid w:val="002B0979"/>
    <w:rsid w:val="002B0AD2"/>
    <w:rsid w:val="002B0F6F"/>
    <w:rsid w:val="002B26D5"/>
    <w:rsid w:val="002B27C6"/>
    <w:rsid w:val="002B5C73"/>
    <w:rsid w:val="002B75CD"/>
    <w:rsid w:val="002C0DCC"/>
    <w:rsid w:val="002C1111"/>
    <w:rsid w:val="002C16A6"/>
    <w:rsid w:val="002C2067"/>
    <w:rsid w:val="002C2E10"/>
    <w:rsid w:val="002C354D"/>
    <w:rsid w:val="002D3CFC"/>
    <w:rsid w:val="002D5766"/>
    <w:rsid w:val="002D62DA"/>
    <w:rsid w:val="002D65B4"/>
    <w:rsid w:val="002D73A2"/>
    <w:rsid w:val="002D7574"/>
    <w:rsid w:val="002D7C58"/>
    <w:rsid w:val="002E1A31"/>
    <w:rsid w:val="002E1BC6"/>
    <w:rsid w:val="002E2057"/>
    <w:rsid w:val="002E266A"/>
    <w:rsid w:val="002E26AA"/>
    <w:rsid w:val="002E445D"/>
    <w:rsid w:val="002E5930"/>
    <w:rsid w:val="002F0872"/>
    <w:rsid w:val="002F1175"/>
    <w:rsid w:val="002F5541"/>
    <w:rsid w:val="002F6303"/>
    <w:rsid w:val="002F7A2B"/>
    <w:rsid w:val="00300EAC"/>
    <w:rsid w:val="00302F8F"/>
    <w:rsid w:val="00303EAB"/>
    <w:rsid w:val="00304CCE"/>
    <w:rsid w:val="0030526E"/>
    <w:rsid w:val="00305EB9"/>
    <w:rsid w:val="0031005C"/>
    <w:rsid w:val="00310FDB"/>
    <w:rsid w:val="003122FD"/>
    <w:rsid w:val="003152B1"/>
    <w:rsid w:val="003161A8"/>
    <w:rsid w:val="0031638C"/>
    <w:rsid w:val="00317082"/>
    <w:rsid w:val="003251B5"/>
    <w:rsid w:val="00326469"/>
    <w:rsid w:val="003271A9"/>
    <w:rsid w:val="003302BD"/>
    <w:rsid w:val="00330BA8"/>
    <w:rsid w:val="00331082"/>
    <w:rsid w:val="003312BC"/>
    <w:rsid w:val="00331DCE"/>
    <w:rsid w:val="00333C3E"/>
    <w:rsid w:val="003347E7"/>
    <w:rsid w:val="00337830"/>
    <w:rsid w:val="00337EEA"/>
    <w:rsid w:val="00340CD9"/>
    <w:rsid w:val="00343281"/>
    <w:rsid w:val="00343AB4"/>
    <w:rsid w:val="00345123"/>
    <w:rsid w:val="003454DD"/>
    <w:rsid w:val="00346FB5"/>
    <w:rsid w:val="00347D77"/>
    <w:rsid w:val="00350E18"/>
    <w:rsid w:val="003510C9"/>
    <w:rsid w:val="00351C57"/>
    <w:rsid w:val="00356964"/>
    <w:rsid w:val="00356C82"/>
    <w:rsid w:val="0035726F"/>
    <w:rsid w:val="00357614"/>
    <w:rsid w:val="00357BDD"/>
    <w:rsid w:val="003623C1"/>
    <w:rsid w:val="00362BD9"/>
    <w:rsid w:val="003633B0"/>
    <w:rsid w:val="0036396A"/>
    <w:rsid w:val="003640C2"/>
    <w:rsid w:val="003641F3"/>
    <w:rsid w:val="00365749"/>
    <w:rsid w:val="00371910"/>
    <w:rsid w:val="00372A4E"/>
    <w:rsid w:val="00373519"/>
    <w:rsid w:val="00373C93"/>
    <w:rsid w:val="00373E92"/>
    <w:rsid w:val="003761A7"/>
    <w:rsid w:val="0037781C"/>
    <w:rsid w:val="00377D32"/>
    <w:rsid w:val="00381539"/>
    <w:rsid w:val="00381969"/>
    <w:rsid w:val="003830AB"/>
    <w:rsid w:val="00383394"/>
    <w:rsid w:val="00384615"/>
    <w:rsid w:val="00386B68"/>
    <w:rsid w:val="003900C3"/>
    <w:rsid w:val="00391070"/>
    <w:rsid w:val="00391EB5"/>
    <w:rsid w:val="003925CB"/>
    <w:rsid w:val="003952A0"/>
    <w:rsid w:val="003970FD"/>
    <w:rsid w:val="003A3175"/>
    <w:rsid w:val="003A3A6F"/>
    <w:rsid w:val="003A5616"/>
    <w:rsid w:val="003A6D8C"/>
    <w:rsid w:val="003B263D"/>
    <w:rsid w:val="003B39E6"/>
    <w:rsid w:val="003B3D5B"/>
    <w:rsid w:val="003C0C65"/>
    <w:rsid w:val="003C2B78"/>
    <w:rsid w:val="003C34EA"/>
    <w:rsid w:val="003C40B9"/>
    <w:rsid w:val="003C67C6"/>
    <w:rsid w:val="003D0C59"/>
    <w:rsid w:val="003D0E67"/>
    <w:rsid w:val="003D27AA"/>
    <w:rsid w:val="003D3018"/>
    <w:rsid w:val="003D6A47"/>
    <w:rsid w:val="003D7392"/>
    <w:rsid w:val="003D7C15"/>
    <w:rsid w:val="003D7E58"/>
    <w:rsid w:val="003E01A4"/>
    <w:rsid w:val="003E043D"/>
    <w:rsid w:val="003E4136"/>
    <w:rsid w:val="003E447B"/>
    <w:rsid w:val="003E61EA"/>
    <w:rsid w:val="003E66BA"/>
    <w:rsid w:val="003E7377"/>
    <w:rsid w:val="003E7FD4"/>
    <w:rsid w:val="003F1933"/>
    <w:rsid w:val="003F1F11"/>
    <w:rsid w:val="003F2DBA"/>
    <w:rsid w:val="003F47B4"/>
    <w:rsid w:val="003F5F43"/>
    <w:rsid w:val="0040161F"/>
    <w:rsid w:val="0040451F"/>
    <w:rsid w:val="00405679"/>
    <w:rsid w:val="00406BF4"/>
    <w:rsid w:val="00407C2E"/>
    <w:rsid w:val="0041068C"/>
    <w:rsid w:val="00410F50"/>
    <w:rsid w:val="0041798C"/>
    <w:rsid w:val="00421975"/>
    <w:rsid w:val="004229D8"/>
    <w:rsid w:val="00424D1B"/>
    <w:rsid w:val="00425257"/>
    <w:rsid w:val="004256D9"/>
    <w:rsid w:val="00426299"/>
    <w:rsid w:val="004273DE"/>
    <w:rsid w:val="00427940"/>
    <w:rsid w:val="004317BD"/>
    <w:rsid w:val="00432084"/>
    <w:rsid w:val="00432857"/>
    <w:rsid w:val="00432912"/>
    <w:rsid w:val="0043372E"/>
    <w:rsid w:val="00434526"/>
    <w:rsid w:val="0043488A"/>
    <w:rsid w:val="0043584A"/>
    <w:rsid w:val="00435C13"/>
    <w:rsid w:val="004361E6"/>
    <w:rsid w:val="00441D26"/>
    <w:rsid w:val="0044425A"/>
    <w:rsid w:val="00444DFD"/>
    <w:rsid w:val="00445276"/>
    <w:rsid w:val="00445C51"/>
    <w:rsid w:val="004462D2"/>
    <w:rsid w:val="004471E6"/>
    <w:rsid w:val="004472D6"/>
    <w:rsid w:val="00450670"/>
    <w:rsid w:val="0045125C"/>
    <w:rsid w:val="0045270D"/>
    <w:rsid w:val="00453861"/>
    <w:rsid w:val="00453988"/>
    <w:rsid w:val="0045469E"/>
    <w:rsid w:val="004554E8"/>
    <w:rsid w:val="00457568"/>
    <w:rsid w:val="00464019"/>
    <w:rsid w:val="0046427B"/>
    <w:rsid w:val="0046564F"/>
    <w:rsid w:val="00465CF8"/>
    <w:rsid w:val="00472648"/>
    <w:rsid w:val="0047323F"/>
    <w:rsid w:val="004757EE"/>
    <w:rsid w:val="00477873"/>
    <w:rsid w:val="0048189F"/>
    <w:rsid w:val="00481B75"/>
    <w:rsid w:val="00487BC9"/>
    <w:rsid w:val="00491293"/>
    <w:rsid w:val="00491808"/>
    <w:rsid w:val="004925C8"/>
    <w:rsid w:val="00493061"/>
    <w:rsid w:val="00493FA7"/>
    <w:rsid w:val="00494E8C"/>
    <w:rsid w:val="00494F71"/>
    <w:rsid w:val="00495321"/>
    <w:rsid w:val="0049554D"/>
    <w:rsid w:val="00495FD7"/>
    <w:rsid w:val="004A12D3"/>
    <w:rsid w:val="004A20BA"/>
    <w:rsid w:val="004A2CF3"/>
    <w:rsid w:val="004A3DC8"/>
    <w:rsid w:val="004A5964"/>
    <w:rsid w:val="004B1570"/>
    <w:rsid w:val="004B2AB9"/>
    <w:rsid w:val="004C2643"/>
    <w:rsid w:val="004D0E55"/>
    <w:rsid w:val="004D19A2"/>
    <w:rsid w:val="004D283A"/>
    <w:rsid w:val="004D2BCB"/>
    <w:rsid w:val="004D2BEE"/>
    <w:rsid w:val="004D2F74"/>
    <w:rsid w:val="004D3168"/>
    <w:rsid w:val="004D3413"/>
    <w:rsid w:val="004D3653"/>
    <w:rsid w:val="004D3C1B"/>
    <w:rsid w:val="004D49BC"/>
    <w:rsid w:val="004D4D33"/>
    <w:rsid w:val="004D5CF6"/>
    <w:rsid w:val="004D5E71"/>
    <w:rsid w:val="004D7D88"/>
    <w:rsid w:val="004E1770"/>
    <w:rsid w:val="004E1B64"/>
    <w:rsid w:val="004E209A"/>
    <w:rsid w:val="004E21B8"/>
    <w:rsid w:val="004E4DE4"/>
    <w:rsid w:val="004E5028"/>
    <w:rsid w:val="004E50EC"/>
    <w:rsid w:val="004E6034"/>
    <w:rsid w:val="004E6591"/>
    <w:rsid w:val="004F1968"/>
    <w:rsid w:val="004F1F8B"/>
    <w:rsid w:val="004F688E"/>
    <w:rsid w:val="004F68F0"/>
    <w:rsid w:val="00501835"/>
    <w:rsid w:val="00502E70"/>
    <w:rsid w:val="00505BE4"/>
    <w:rsid w:val="00506B0D"/>
    <w:rsid w:val="00511D80"/>
    <w:rsid w:val="005142D8"/>
    <w:rsid w:val="00514A99"/>
    <w:rsid w:val="00517CA5"/>
    <w:rsid w:val="00520BD8"/>
    <w:rsid w:val="00522174"/>
    <w:rsid w:val="00522C56"/>
    <w:rsid w:val="0052377D"/>
    <w:rsid w:val="00530D98"/>
    <w:rsid w:val="00531265"/>
    <w:rsid w:val="00531533"/>
    <w:rsid w:val="00531BA6"/>
    <w:rsid w:val="005369FD"/>
    <w:rsid w:val="00537802"/>
    <w:rsid w:val="00537E4C"/>
    <w:rsid w:val="0054028C"/>
    <w:rsid w:val="00545891"/>
    <w:rsid w:val="00546C24"/>
    <w:rsid w:val="00552C58"/>
    <w:rsid w:val="00552EAA"/>
    <w:rsid w:val="005530BD"/>
    <w:rsid w:val="00556044"/>
    <w:rsid w:val="0055626B"/>
    <w:rsid w:val="005568C0"/>
    <w:rsid w:val="00557547"/>
    <w:rsid w:val="00560130"/>
    <w:rsid w:val="005614EC"/>
    <w:rsid w:val="00561F5D"/>
    <w:rsid w:val="0056777E"/>
    <w:rsid w:val="0057164E"/>
    <w:rsid w:val="00571F3E"/>
    <w:rsid w:val="0057677C"/>
    <w:rsid w:val="00580B64"/>
    <w:rsid w:val="005820DC"/>
    <w:rsid w:val="00582A4C"/>
    <w:rsid w:val="00582D73"/>
    <w:rsid w:val="00584F5B"/>
    <w:rsid w:val="005850AC"/>
    <w:rsid w:val="005851DE"/>
    <w:rsid w:val="0058577C"/>
    <w:rsid w:val="0059003B"/>
    <w:rsid w:val="00594D27"/>
    <w:rsid w:val="005950E6"/>
    <w:rsid w:val="00596414"/>
    <w:rsid w:val="005A326C"/>
    <w:rsid w:val="005B27B4"/>
    <w:rsid w:val="005B3AFC"/>
    <w:rsid w:val="005B3EE1"/>
    <w:rsid w:val="005B4E70"/>
    <w:rsid w:val="005B53F6"/>
    <w:rsid w:val="005B6883"/>
    <w:rsid w:val="005C4328"/>
    <w:rsid w:val="005C4C68"/>
    <w:rsid w:val="005C5464"/>
    <w:rsid w:val="005C63D3"/>
    <w:rsid w:val="005C64FA"/>
    <w:rsid w:val="005D102B"/>
    <w:rsid w:val="005D7198"/>
    <w:rsid w:val="005D756F"/>
    <w:rsid w:val="005E2612"/>
    <w:rsid w:val="005E37CE"/>
    <w:rsid w:val="005F0A05"/>
    <w:rsid w:val="005F3A12"/>
    <w:rsid w:val="00601349"/>
    <w:rsid w:val="00603608"/>
    <w:rsid w:val="00604C25"/>
    <w:rsid w:val="00604CDB"/>
    <w:rsid w:val="006068C5"/>
    <w:rsid w:val="006075D0"/>
    <w:rsid w:val="00610E74"/>
    <w:rsid w:val="00613AE3"/>
    <w:rsid w:val="0061405B"/>
    <w:rsid w:val="00614840"/>
    <w:rsid w:val="00614C76"/>
    <w:rsid w:val="00615C71"/>
    <w:rsid w:val="00617ACE"/>
    <w:rsid w:val="0062268B"/>
    <w:rsid w:val="0063148B"/>
    <w:rsid w:val="006317D1"/>
    <w:rsid w:val="006321C5"/>
    <w:rsid w:val="006337C3"/>
    <w:rsid w:val="00636EC9"/>
    <w:rsid w:val="00640DD9"/>
    <w:rsid w:val="0064159E"/>
    <w:rsid w:val="00642E66"/>
    <w:rsid w:val="006436FB"/>
    <w:rsid w:val="00644433"/>
    <w:rsid w:val="0064474A"/>
    <w:rsid w:val="00647875"/>
    <w:rsid w:val="006523AD"/>
    <w:rsid w:val="006550DC"/>
    <w:rsid w:val="00655D41"/>
    <w:rsid w:val="00660554"/>
    <w:rsid w:val="006615C5"/>
    <w:rsid w:val="00662104"/>
    <w:rsid w:val="006656CC"/>
    <w:rsid w:val="00667817"/>
    <w:rsid w:val="00675CEB"/>
    <w:rsid w:val="0068079D"/>
    <w:rsid w:val="00680C7D"/>
    <w:rsid w:val="00682B66"/>
    <w:rsid w:val="00683A9F"/>
    <w:rsid w:val="006841DF"/>
    <w:rsid w:val="0068426A"/>
    <w:rsid w:val="00686987"/>
    <w:rsid w:val="006918DB"/>
    <w:rsid w:val="0069255C"/>
    <w:rsid w:val="00692B54"/>
    <w:rsid w:val="00692E3E"/>
    <w:rsid w:val="00693E4D"/>
    <w:rsid w:val="00694154"/>
    <w:rsid w:val="0069434F"/>
    <w:rsid w:val="00696B99"/>
    <w:rsid w:val="00697229"/>
    <w:rsid w:val="006A2E34"/>
    <w:rsid w:val="006A455F"/>
    <w:rsid w:val="006A5686"/>
    <w:rsid w:val="006A613D"/>
    <w:rsid w:val="006A6CFF"/>
    <w:rsid w:val="006B387E"/>
    <w:rsid w:val="006B4D64"/>
    <w:rsid w:val="006B553F"/>
    <w:rsid w:val="006B6F4C"/>
    <w:rsid w:val="006C0611"/>
    <w:rsid w:val="006C068A"/>
    <w:rsid w:val="006C1998"/>
    <w:rsid w:val="006C21FC"/>
    <w:rsid w:val="006C3AAA"/>
    <w:rsid w:val="006C6487"/>
    <w:rsid w:val="006C64C9"/>
    <w:rsid w:val="006C71B9"/>
    <w:rsid w:val="006D04B1"/>
    <w:rsid w:val="006D0999"/>
    <w:rsid w:val="006D6DF2"/>
    <w:rsid w:val="006D6EFC"/>
    <w:rsid w:val="006D77D4"/>
    <w:rsid w:val="006D7E2B"/>
    <w:rsid w:val="006E0125"/>
    <w:rsid w:val="006E1118"/>
    <w:rsid w:val="006E19DB"/>
    <w:rsid w:val="006E4525"/>
    <w:rsid w:val="006E5093"/>
    <w:rsid w:val="006E5654"/>
    <w:rsid w:val="006E5F39"/>
    <w:rsid w:val="006E740C"/>
    <w:rsid w:val="006E786C"/>
    <w:rsid w:val="006F0262"/>
    <w:rsid w:val="006F20BF"/>
    <w:rsid w:val="006F36CE"/>
    <w:rsid w:val="006F40EF"/>
    <w:rsid w:val="006F4B3B"/>
    <w:rsid w:val="006F4F47"/>
    <w:rsid w:val="006F6F1C"/>
    <w:rsid w:val="0070002B"/>
    <w:rsid w:val="00700477"/>
    <w:rsid w:val="00701F69"/>
    <w:rsid w:val="00703463"/>
    <w:rsid w:val="0070516F"/>
    <w:rsid w:val="00711F47"/>
    <w:rsid w:val="007137ED"/>
    <w:rsid w:val="00715D3A"/>
    <w:rsid w:val="00721086"/>
    <w:rsid w:val="007237B3"/>
    <w:rsid w:val="0072399D"/>
    <w:rsid w:val="007242D5"/>
    <w:rsid w:val="007243EA"/>
    <w:rsid w:val="007246BB"/>
    <w:rsid w:val="00724F6E"/>
    <w:rsid w:val="00725A07"/>
    <w:rsid w:val="0072729A"/>
    <w:rsid w:val="007303EE"/>
    <w:rsid w:val="0073044F"/>
    <w:rsid w:val="0073244A"/>
    <w:rsid w:val="007338E1"/>
    <w:rsid w:val="007347BA"/>
    <w:rsid w:val="007369D8"/>
    <w:rsid w:val="00736D91"/>
    <w:rsid w:val="00740E5A"/>
    <w:rsid w:val="00742A83"/>
    <w:rsid w:val="00742B9B"/>
    <w:rsid w:val="00744F95"/>
    <w:rsid w:val="00745CE6"/>
    <w:rsid w:val="00746492"/>
    <w:rsid w:val="00747711"/>
    <w:rsid w:val="00747C09"/>
    <w:rsid w:val="00750436"/>
    <w:rsid w:val="00750B2A"/>
    <w:rsid w:val="00751F35"/>
    <w:rsid w:val="007537CC"/>
    <w:rsid w:val="00756510"/>
    <w:rsid w:val="00756B5E"/>
    <w:rsid w:val="0076008E"/>
    <w:rsid w:val="007607EE"/>
    <w:rsid w:val="00760ED2"/>
    <w:rsid w:val="00763241"/>
    <w:rsid w:val="007638F0"/>
    <w:rsid w:val="00764803"/>
    <w:rsid w:val="00764E81"/>
    <w:rsid w:val="00765BFD"/>
    <w:rsid w:val="00766DCA"/>
    <w:rsid w:val="00767B05"/>
    <w:rsid w:val="0077034E"/>
    <w:rsid w:val="00770B05"/>
    <w:rsid w:val="00771A20"/>
    <w:rsid w:val="00771E2D"/>
    <w:rsid w:val="00771FE5"/>
    <w:rsid w:val="0077288F"/>
    <w:rsid w:val="00773529"/>
    <w:rsid w:val="00774EE1"/>
    <w:rsid w:val="00777DCC"/>
    <w:rsid w:val="00780966"/>
    <w:rsid w:val="007824BF"/>
    <w:rsid w:val="00783536"/>
    <w:rsid w:val="00783A3B"/>
    <w:rsid w:val="00784BA6"/>
    <w:rsid w:val="00786AB6"/>
    <w:rsid w:val="00790375"/>
    <w:rsid w:val="0079061E"/>
    <w:rsid w:val="007922D3"/>
    <w:rsid w:val="007949FA"/>
    <w:rsid w:val="0079618C"/>
    <w:rsid w:val="00797887"/>
    <w:rsid w:val="007A01AF"/>
    <w:rsid w:val="007A3244"/>
    <w:rsid w:val="007A4AA8"/>
    <w:rsid w:val="007A4DF3"/>
    <w:rsid w:val="007A525C"/>
    <w:rsid w:val="007A5947"/>
    <w:rsid w:val="007A5F7A"/>
    <w:rsid w:val="007A6E0D"/>
    <w:rsid w:val="007B0576"/>
    <w:rsid w:val="007B3098"/>
    <w:rsid w:val="007B5D0C"/>
    <w:rsid w:val="007B5EF9"/>
    <w:rsid w:val="007B6CAE"/>
    <w:rsid w:val="007C1DD0"/>
    <w:rsid w:val="007C21AC"/>
    <w:rsid w:val="007C270A"/>
    <w:rsid w:val="007C547B"/>
    <w:rsid w:val="007C58B9"/>
    <w:rsid w:val="007D2723"/>
    <w:rsid w:val="007D4ABF"/>
    <w:rsid w:val="007D5542"/>
    <w:rsid w:val="007E0FA5"/>
    <w:rsid w:val="007E1A2B"/>
    <w:rsid w:val="007E4E94"/>
    <w:rsid w:val="007E51CA"/>
    <w:rsid w:val="007F041F"/>
    <w:rsid w:val="007F18B8"/>
    <w:rsid w:val="007F1F81"/>
    <w:rsid w:val="007F4405"/>
    <w:rsid w:val="007F5DDD"/>
    <w:rsid w:val="007F6F26"/>
    <w:rsid w:val="00804BCC"/>
    <w:rsid w:val="00806129"/>
    <w:rsid w:val="00813474"/>
    <w:rsid w:val="00814D58"/>
    <w:rsid w:val="0081638E"/>
    <w:rsid w:val="00817C02"/>
    <w:rsid w:val="0082079A"/>
    <w:rsid w:val="008223BB"/>
    <w:rsid w:val="008239F7"/>
    <w:rsid w:val="00826FBE"/>
    <w:rsid w:val="00827BB5"/>
    <w:rsid w:val="00827E41"/>
    <w:rsid w:val="00834983"/>
    <w:rsid w:val="00835028"/>
    <w:rsid w:val="00835A80"/>
    <w:rsid w:val="00841819"/>
    <w:rsid w:val="00843AFF"/>
    <w:rsid w:val="00844C98"/>
    <w:rsid w:val="008452CD"/>
    <w:rsid w:val="00847ED0"/>
    <w:rsid w:val="00850238"/>
    <w:rsid w:val="00852EBE"/>
    <w:rsid w:val="00853180"/>
    <w:rsid w:val="00854446"/>
    <w:rsid w:val="00856369"/>
    <w:rsid w:val="0086080F"/>
    <w:rsid w:val="00862229"/>
    <w:rsid w:val="00864902"/>
    <w:rsid w:val="00864CE0"/>
    <w:rsid w:val="008653CF"/>
    <w:rsid w:val="00865577"/>
    <w:rsid w:val="00865DAD"/>
    <w:rsid w:val="00867674"/>
    <w:rsid w:val="00867C82"/>
    <w:rsid w:val="0087045B"/>
    <w:rsid w:val="00870ECF"/>
    <w:rsid w:val="00872699"/>
    <w:rsid w:val="0087692B"/>
    <w:rsid w:val="00880E15"/>
    <w:rsid w:val="00882FA1"/>
    <w:rsid w:val="00885EDA"/>
    <w:rsid w:val="00890058"/>
    <w:rsid w:val="00891B44"/>
    <w:rsid w:val="0089234E"/>
    <w:rsid w:val="00894D4F"/>
    <w:rsid w:val="0089728B"/>
    <w:rsid w:val="008A0233"/>
    <w:rsid w:val="008A0A72"/>
    <w:rsid w:val="008A10EA"/>
    <w:rsid w:val="008A1D50"/>
    <w:rsid w:val="008A53E8"/>
    <w:rsid w:val="008A7769"/>
    <w:rsid w:val="008B0C99"/>
    <w:rsid w:val="008B1426"/>
    <w:rsid w:val="008B1875"/>
    <w:rsid w:val="008B1B03"/>
    <w:rsid w:val="008B319F"/>
    <w:rsid w:val="008B3FAF"/>
    <w:rsid w:val="008B703B"/>
    <w:rsid w:val="008C0282"/>
    <w:rsid w:val="008C271D"/>
    <w:rsid w:val="008C343B"/>
    <w:rsid w:val="008C3B4A"/>
    <w:rsid w:val="008C4367"/>
    <w:rsid w:val="008C5014"/>
    <w:rsid w:val="008C5485"/>
    <w:rsid w:val="008C6BA0"/>
    <w:rsid w:val="008D01F0"/>
    <w:rsid w:val="008D2343"/>
    <w:rsid w:val="008D2507"/>
    <w:rsid w:val="008D278F"/>
    <w:rsid w:val="008D3519"/>
    <w:rsid w:val="008D5648"/>
    <w:rsid w:val="008D6C0C"/>
    <w:rsid w:val="008D7514"/>
    <w:rsid w:val="008E14C8"/>
    <w:rsid w:val="008E2133"/>
    <w:rsid w:val="008E3D00"/>
    <w:rsid w:val="008E4313"/>
    <w:rsid w:val="008E7455"/>
    <w:rsid w:val="008F0A1A"/>
    <w:rsid w:val="008F0B0A"/>
    <w:rsid w:val="008F20B2"/>
    <w:rsid w:val="008F28FD"/>
    <w:rsid w:val="008F4480"/>
    <w:rsid w:val="008F6FF1"/>
    <w:rsid w:val="008F7C45"/>
    <w:rsid w:val="00900892"/>
    <w:rsid w:val="00904D72"/>
    <w:rsid w:val="00905229"/>
    <w:rsid w:val="00905DA7"/>
    <w:rsid w:val="00905FE5"/>
    <w:rsid w:val="00906A9D"/>
    <w:rsid w:val="009124F1"/>
    <w:rsid w:val="00912B80"/>
    <w:rsid w:val="00912FBC"/>
    <w:rsid w:val="00913021"/>
    <w:rsid w:val="00917934"/>
    <w:rsid w:val="00924FF5"/>
    <w:rsid w:val="009250B7"/>
    <w:rsid w:val="009271AC"/>
    <w:rsid w:val="009276FF"/>
    <w:rsid w:val="00930A35"/>
    <w:rsid w:val="00931EFA"/>
    <w:rsid w:val="0093777D"/>
    <w:rsid w:val="009379E1"/>
    <w:rsid w:val="00937E2B"/>
    <w:rsid w:val="0094325E"/>
    <w:rsid w:val="00944B7E"/>
    <w:rsid w:val="0094593D"/>
    <w:rsid w:val="009537BB"/>
    <w:rsid w:val="00954544"/>
    <w:rsid w:val="00960E36"/>
    <w:rsid w:val="00962503"/>
    <w:rsid w:val="00962B35"/>
    <w:rsid w:val="009640DD"/>
    <w:rsid w:val="009643BD"/>
    <w:rsid w:val="0096446E"/>
    <w:rsid w:val="0096669F"/>
    <w:rsid w:val="00966876"/>
    <w:rsid w:val="00970D5D"/>
    <w:rsid w:val="00971A9D"/>
    <w:rsid w:val="0098274D"/>
    <w:rsid w:val="0098277C"/>
    <w:rsid w:val="00987E12"/>
    <w:rsid w:val="00990152"/>
    <w:rsid w:val="009918E7"/>
    <w:rsid w:val="00991BD9"/>
    <w:rsid w:val="00992E2C"/>
    <w:rsid w:val="009938FD"/>
    <w:rsid w:val="00994361"/>
    <w:rsid w:val="0099485C"/>
    <w:rsid w:val="009955A6"/>
    <w:rsid w:val="00996FC9"/>
    <w:rsid w:val="009A0DB7"/>
    <w:rsid w:val="009A1C29"/>
    <w:rsid w:val="009A4EE2"/>
    <w:rsid w:val="009A5FF4"/>
    <w:rsid w:val="009A6303"/>
    <w:rsid w:val="009A64E6"/>
    <w:rsid w:val="009A6557"/>
    <w:rsid w:val="009A6D5C"/>
    <w:rsid w:val="009A6FD6"/>
    <w:rsid w:val="009A7E62"/>
    <w:rsid w:val="009B12A1"/>
    <w:rsid w:val="009B19D1"/>
    <w:rsid w:val="009B2F73"/>
    <w:rsid w:val="009B6722"/>
    <w:rsid w:val="009B6B80"/>
    <w:rsid w:val="009B7AFA"/>
    <w:rsid w:val="009C3180"/>
    <w:rsid w:val="009C4CD0"/>
    <w:rsid w:val="009C5662"/>
    <w:rsid w:val="009C6376"/>
    <w:rsid w:val="009C6C85"/>
    <w:rsid w:val="009C6D15"/>
    <w:rsid w:val="009C7FAF"/>
    <w:rsid w:val="009D1190"/>
    <w:rsid w:val="009E18F6"/>
    <w:rsid w:val="009E6EE4"/>
    <w:rsid w:val="009F4E62"/>
    <w:rsid w:val="009F5975"/>
    <w:rsid w:val="00A03147"/>
    <w:rsid w:val="00A057C6"/>
    <w:rsid w:val="00A06094"/>
    <w:rsid w:val="00A06615"/>
    <w:rsid w:val="00A07FB5"/>
    <w:rsid w:val="00A121B3"/>
    <w:rsid w:val="00A17AC5"/>
    <w:rsid w:val="00A20D73"/>
    <w:rsid w:val="00A215C0"/>
    <w:rsid w:val="00A24D54"/>
    <w:rsid w:val="00A25FFE"/>
    <w:rsid w:val="00A27F7A"/>
    <w:rsid w:val="00A30132"/>
    <w:rsid w:val="00A32661"/>
    <w:rsid w:val="00A34147"/>
    <w:rsid w:val="00A345B9"/>
    <w:rsid w:val="00A35F9F"/>
    <w:rsid w:val="00A3684A"/>
    <w:rsid w:val="00A4056A"/>
    <w:rsid w:val="00A42618"/>
    <w:rsid w:val="00A42CDA"/>
    <w:rsid w:val="00A4552C"/>
    <w:rsid w:val="00A45D2C"/>
    <w:rsid w:val="00A4605C"/>
    <w:rsid w:val="00A469C7"/>
    <w:rsid w:val="00A502CF"/>
    <w:rsid w:val="00A5128D"/>
    <w:rsid w:val="00A55883"/>
    <w:rsid w:val="00A565D6"/>
    <w:rsid w:val="00A56EF7"/>
    <w:rsid w:val="00A606BE"/>
    <w:rsid w:val="00A611FE"/>
    <w:rsid w:val="00A61B99"/>
    <w:rsid w:val="00A65415"/>
    <w:rsid w:val="00A6690B"/>
    <w:rsid w:val="00A70525"/>
    <w:rsid w:val="00A72309"/>
    <w:rsid w:val="00A72AA6"/>
    <w:rsid w:val="00A72B7D"/>
    <w:rsid w:val="00A72D62"/>
    <w:rsid w:val="00A75240"/>
    <w:rsid w:val="00A75B9C"/>
    <w:rsid w:val="00A7623F"/>
    <w:rsid w:val="00A76804"/>
    <w:rsid w:val="00A80575"/>
    <w:rsid w:val="00A837DD"/>
    <w:rsid w:val="00A83CAD"/>
    <w:rsid w:val="00A849FB"/>
    <w:rsid w:val="00A855E1"/>
    <w:rsid w:val="00A860D4"/>
    <w:rsid w:val="00A911EA"/>
    <w:rsid w:val="00A9440D"/>
    <w:rsid w:val="00A94CFE"/>
    <w:rsid w:val="00A951A2"/>
    <w:rsid w:val="00A953CB"/>
    <w:rsid w:val="00A9562C"/>
    <w:rsid w:val="00AA0F64"/>
    <w:rsid w:val="00AA14DD"/>
    <w:rsid w:val="00AA5436"/>
    <w:rsid w:val="00AA7F97"/>
    <w:rsid w:val="00AB19C6"/>
    <w:rsid w:val="00AB2F7E"/>
    <w:rsid w:val="00AB56C9"/>
    <w:rsid w:val="00AB770D"/>
    <w:rsid w:val="00AC0EF5"/>
    <w:rsid w:val="00AC1836"/>
    <w:rsid w:val="00AC3D59"/>
    <w:rsid w:val="00AC41EC"/>
    <w:rsid w:val="00AD0AA5"/>
    <w:rsid w:val="00AD1A26"/>
    <w:rsid w:val="00AD32A9"/>
    <w:rsid w:val="00AE1C85"/>
    <w:rsid w:val="00AE1D2F"/>
    <w:rsid w:val="00AE1FEF"/>
    <w:rsid w:val="00AE215C"/>
    <w:rsid w:val="00AE2C33"/>
    <w:rsid w:val="00AE6CFE"/>
    <w:rsid w:val="00AE73BE"/>
    <w:rsid w:val="00AF0938"/>
    <w:rsid w:val="00AF0BE0"/>
    <w:rsid w:val="00AF51ED"/>
    <w:rsid w:val="00AF57B5"/>
    <w:rsid w:val="00B00720"/>
    <w:rsid w:val="00B01CCE"/>
    <w:rsid w:val="00B02B61"/>
    <w:rsid w:val="00B0363B"/>
    <w:rsid w:val="00B06C40"/>
    <w:rsid w:val="00B11850"/>
    <w:rsid w:val="00B12F49"/>
    <w:rsid w:val="00B14561"/>
    <w:rsid w:val="00B1553C"/>
    <w:rsid w:val="00B16F58"/>
    <w:rsid w:val="00B21194"/>
    <w:rsid w:val="00B21984"/>
    <w:rsid w:val="00B228B1"/>
    <w:rsid w:val="00B23EF4"/>
    <w:rsid w:val="00B24286"/>
    <w:rsid w:val="00B25110"/>
    <w:rsid w:val="00B27226"/>
    <w:rsid w:val="00B27251"/>
    <w:rsid w:val="00B27ADD"/>
    <w:rsid w:val="00B27C31"/>
    <w:rsid w:val="00B30F60"/>
    <w:rsid w:val="00B3115A"/>
    <w:rsid w:val="00B3157B"/>
    <w:rsid w:val="00B326D8"/>
    <w:rsid w:val="00B32EC1"/>
    <w:rsid w:val="00B3432E"/>
    <w:rsid w:val="00B40730"/>
    <w:rsid w:val="00B41D77"/>
    <w:rsid w:val="00B46540"/>
    <w:rsid w:val="00B51896"/>
    <w:rsid w:val="00B52348"/>
    <w:rsid w:val="00B52B97"/>
    <w:rsid w:val="00B54B25"/>
    <w:rsid w:val="00B56142"/>
    <w:rsid w:val="00B57C30"/>
    <w:rsid w:val="00B60647"/>
    <w:rsid w:val="00B63121"/>
    <w:rsid w:val="00B635DD"/>
    <w:rsid w:val="00B63C4E"/>
    <w:rsid w:val="00B70E37"/>
    <w:rsid w:val="00B72E41"/>
    <w:rsid w:val="00B7459A"/>
    <w:rsid w:val="00B75A16"/>
    <w:rsid w:val="00B80AE3"/>
    <w:rsid w:val="00B82AE7"/>
    <w:rsid w:val="00B82C56"/>
    <w:rsid w:val="00B8352D"/>
    <w:rsid w:val="00B8383C"/>
    <w:rsid w:val="00B83A03"/>
    <w:rsid w:val="00B87653"/>
    <w:rsid w:val="00B904D0"/>
    <w:rsid w:val="00B906FB"/>
    <w:rsid w:val="00B91B83"/>
    <w:rsid w:val="00B922FE"/>
    <w:rsid w:val="00B92629"/>
    <w:rsid w:val="00B92B24"/>
    <w:rsid w:val="00B95575"/>
    <w:rsid w:val="00B97EA7"/>
    <w:rsid w:val="00B97EB1"/>
    <w:rsid w:val="00BA2EA9"/>
    <w:rsid w:val="00BA363B"/>
    <w:rsid w:val="00BA6EB8"/>
    <w:rsid w:val="00BB0AF9"/>
    <w:rsid w:val="00BB0E75"/>
    <w:rsid w:val="00BB233B"/>
    <w:rsid w:val="00BB4528"/>
    <w:rsid w:val="00BB5B82"/>
    <w:rsid w:val="00BB62E1"/>
    <w:rsid w:val="00BB6891"/>
    <w:rsid w:val="00BC317A"/>
    <w:rsid w:val="00BC40A8"/>
    <w:rsid w:val="00BC430F"/>
    <w:rsid w:val="00BC5C91"/>
    <w:rsid w:val="00BC708B"/>
    <w:rsid w:val="00BC7199"/>
    <w:rsid w:val="00BD0FE3"/>
    <w:rsid w:val="00BD1FD3"/>
    <w:rsid w:val="00BD277C"/>
    <w:rsid w:val="00BD281D"/>
    <w:rsid w:val="00BD2ACA"/>
    <w:rsid w:val="00BD488F"/>
    <w:rsid w:val="00BD4A6E"/>
    <w:rsid w:val="00BD534D"/>
    <w:rsid w:val="00BD6BED"/>
    <w:rsid w:val="00BE05E4"/>
    <w:rsid w:val="00BE241D"/>
    <w:rsid w:val="00BE2CCF"/>
    <w:rsid w:val="00BE2E8B"/>
    <w:rsid w:val="00BE50B1"/>
    <w:rsid w:val="00BE598D"/>
    <w:rsid w:val="00BE631A"/>
    <w:rsid w:val="00BF0808"/>
    <w:rsid w:val="00BF2142"/>
    <w:rsid w:val="00BF28E1"/>
    <w:rsid w:val="00BF4D27"/>
    <w:rsid w:val="00BF4F12"/>
    <w:rsid w:val="00BF4FB7"/>
    <w:rsid w:val="00BF5DDD"/>
    <w:rsid w:val="00C008E5"/>
    <w:rsid w:val="00C01219"/>
    <w:rsid w:val="00C0121C"/>
    <w:rsid w:val="00C019F9"/>
    <w:rsid w:val="00C03103"/>
    <w:rsid w:val="00C032CE"/>
    <w:rsid w:val="00C05CB2"/>
    <w:rsid w:val="00C06B37"/>
    <w:rsid w:val="00C12BEA"/>
    <w:rsid w:val="00C130A4"/>
    <w:rsid w:val="00C14A67"/>
    <w:rsid w:val="00C14D24"/>
    <w:rsid w:val="00C153B9"/>
    <w:rsid w:val="00C2020E"/>
    <w:rsid w:val="00C21734"/>
    <w:rsid w:val="00C21A26"/>
    <w:rsid w:val="00C21C16"/>
    <w:rsid w:val="00C22056"/>
    <w:rsid w:val="00C23092"/>
    <w:rsid w:val="00C30C26"/>
    <w:rsid w:val="00C32EE8"/>
    <w:rsid w:val="00C33D53"/>
    <w:rsid w:val="00C3629D"/>
    <w:rsid w:val="00C412BC"/>
    <w:rsid w:val="00C42AA9"/>
    <w:rsid w:val="00C42F7F"/>
    <w:rsid w:val="00C44389"/>
    <w:rsid w:val="00C46FBF"/>
    <w:rsid w:val="00C47462"/>
    <w:rsid w:val="00C476D9"/>
    <w:rsid w:val="00C52360"/>
    <w:rsid w:val="00C53EC7"/>
    <w:rsid w:val="00C56068"/>
    <w:rsid w:val="00C604DB"/>
    <w:rsid w:val="00C60AC1"/>
    <w:rsid w:val="00C6137F"/>
    <w:rsid w:val="00C63233"/>
    <w:rsid w:val="00C63B7C"/>
    <w:rsid w:val="00C67B8E"/>
    <w:rsid w:val="00C705B4"/>
    <w:rsid w:val="00C71EE3"/>
    <w:rsid w:val="00C73D6C"/>
    <w:rsid w:val="00C74AE0"/>
    <w:rsid w:val="00C757C7"/>
    <w:rsid w:val="00C77A72"/>
    <w:rsid w:val="00C83B74"/>
    <w:rsid w:val="00C8685C"/>
    <w:rsid w:val="00C9019B"/>
    <w:rsid w:val="00C92705"/>
    <w:rsid w:val="00C9294C"/>
    <w:rsid w:val="00C931C4"/>
    <w:rsid w:val="00C9487F"/>
    <w:rsid w:val="00C9532C"/>
    <w:rsid w:val="00C95592"/>
    <w:rsid w:val="00C9593A"/>
    <w:rsid w:val="00CA3298"/>
    <w:rsid w:val="00CA3478"/>
    <w:rsid w:val="00CA4E95"/>
    <w:rsid w:val="00CA56F2"/>
    <w:rsid w:val="00CA7099"/>
    <w:rsid w:val="00CB0377"/>
    <w:rsid w:val="00CB0420"/>
    <w:rsid w:val="00CB0643"/>
    <w:rsid w:val="00CB271A"/>
    <w:rsid w:val="00CB34E5"/>
    <w:rsid w:val="00CB5438"/>
    <w:rsid w:val="00CB5B29"/>
    <w:rsid w:val="00CB72B4"/>
    <w:rsid w:val="00CB7D06"/>
    <w:rsid w:val="00CC1E7E"/>
    <w:rsid w:val="00CC20A2"/>
    <w:rsid w:val="00CC35F0"/>
    <w:rsid w:val="00CC3799"/>
    <w:rsid w:val="00CC4BED"/>
    <w:rsid w:val="00CC5D3B"/>
    <w:rsid w:val="00CC747D"/>
    <w:rsid w:val="00CD0232"/>
    <w:rsid w:val="00CD05FD"/>
    <w:rsid w:val="00CD26D9"/>
    <w:rsid w:val="00CD3728"/>
    <w:rsid w:val="00CD3C7E"/>
    <w:rsid w:val="00CD43EB"/>
    <w:rsid w:val="00CD440B"/>
    <w:rsid w:val="00CD6ADE"/>
    <w:rsid w:val="00CD6CF4"/>
    <w:rsid w:val="00CE1069"/>
    <w:rsid w:val="00CE5099"/>
    <w:rsid w:val="00CE55D8"/>
    <w:rsid w:val="00CE5C73"/>
    <w:rsid w:val="00CE6059"/>
    <w:rsid w:val="00CF13D0"/>
    <w:rsid w:val="00D0202B"/>
    <w:rsid w:val="00D02181"/>
    <w:rsid w:val="00D041BE"/>
    <w:rsid w:val="00D04224"/>
    <w:rsid w:val="00D06982"/>
    <w:rsid w:val="00D10BFE"/>
    <w:rsid w:val="00D11B7E"/>
    <w:rsid w:val="00D14D17"/>
    <w:rsid w:val="00D14DF4"/>
    <w:rsid w:val="00D201D5"/>
    <w:rsid w:val="00D2107A"/>
    <w:rsid w:val="00D227C5"/>
    <w:rsid w:val="00D2286E"/>
    <w:rsid w:val="00D23166"/>
    <w:rsid w:val="00D25FA7"/>
    <w:rsid w:val="00D260C7"/>
    <w:rsid w:val="00D2756E"/>
    <w:rsid w:val="00D27B75"/>
    <w:rsid w:val="00D30251"/>
    <w:rsid w:val="00D33D3A"/>
    <w:rsid w:val="00D40097"/>
    <w:rsid w:val="00D402E2"/>
    <w:rsid w:val="00D4052F"/>
    <w:rsid w:val="00D420D6"/>
    <w:rsid w:val="00D423A7"/>
    <w:rsid w:val="00D42C8E"/>
    <w:rsid w:val="00D43CA6"/>
    <w:rsid w:val="00D43D2D"/>
    <w:rsid w:val="00D4451C"/>
    <w:rsid w:val="00D50A52"/>
    <w:rsid w:val="00D515F7"/>
    <w:rsid w:val="00D51E91"/>
    <w:rsid w:val="00D52835"/>
    <w:rsid w:val="00D534F0"/>
    <w:rsid w:val="00D541B6"/>
    <w:rsid w:val="00D54B55"/>
    <w:rsid w:val="00D56357"/>
    <w:rsid w:val="00D56540"/>
    <w:rsid w:val="00D57AF4"/>
    <w:rsid w:val="00D613AE"/>
    <w:rsid w:val="00D61DB5"/>
    <w:rsid w:val="00D67E12"/>
    <w:rsid w:val="00D71ECF"/>
    <w:rsid w:val="00D743AF"/>
    <w:rsid w:val="00D75D25"/>
    <w:rsid w:val="00D76A2E"/>
    <w:rsid w:val="00D76ECE"/>
    <w:rsid w:val="00D775D7"/>
    <w:rsid w:val="00D82BF4"/>
    <w:rsid w:val="00D8385D"/>
    <w:rsid w:val="00D846AF"/>
    <w:rsid w:val="00D8507E"/>
    <w:rsid w:val="00D8577B"/>
    <w:rsid w:val="00D87E21"/>
    <w:rsid w:val="00D914CF"/>
    <w:rsid w:val="00D91881"/>
    <w:rsid w:val="00D92227"/>
    <w:rsid w:val="00D939BE"/>
    <w:rsid w:val="00DA06B3"/>
    <w:rsid w:val="00DA08F5"/>
    <w:rsid w:val="00DA1F7B"/>
    <w:rsid w:val="00DA50B1"/>
    <w:rsid w:val="00DB0446"/>
    <w:rsid w:val="00DB16D0"/>
    <w:rsid w:val="00DB2EE1"/>
    <w:rsid w:val="00DB516C"/>
    <w:rsid w:val="00DB744A"/>
    <w:rsid w:val="00DB76E4"/>
    <w:rsid w:val="00DC0998"/>
    <w:rsid w:val="00DC10EC"/>
    <w:rsid w:val="00DC15FD"/>
    <w:rsid w:val="00DC36F3"/>
    <w:rsid w:val="00DC3867"/>
    <w:rsid w:val="00DC5843"/>
    <w:rsid w:val="00DD0206"/>
    <w:rsid w:val="00DD1240"/>
    <w:rsid w:val="00DD1B1A"/>
    <w:rsid w:val="00DD2265"/>
    <w:rsid w:val="00DD25A4"/>
    <w:rsid w:val="00DD29BE"/>
    <w:rsid w:val="00DD2C8B"/>
    <w:rsid w:val="00DD527A"/>
    <w:rsid w:val="00DD5C26"/>
    <w:rsid w:val="00DD67FE"/>
    <w:rsid w:val="00DD7C23"/>
    <w:rsid w:val="00DE23AD"/>
    <w:rsid w:val="00DE4834"/>
    <w:rsid w:val="00DE4F2C"/>
    <w:rsid w:val="00DE5ACB"/>
    <w:rsid w:val="00DE669A"/>
    <w:rsid w:val="00DE699A"/>
    <w:rsid w:val="00DF4742"/>
    <w:rsid w:val="00DF6381"/>
    <w:rsid w:val="00DF731E"/>
    <w:rsid w:val="00E0189B"/>
    <w:rsid w:val="00E03B48"/>
    <w:rsid w:val="00E03E0D"/>
    <w:rsid w:val="00E03F14"/>
    <w:rsid w:val="00E045D3"/>
    <w:rsid w:val="00E0511E"/>
    <w:rsid w:val="00E0534D"/>
    <w:rsid w:val="00E05730"/>
    <w:rsid w:val="00E058E5"/>
    <w:rsid w:val="00E1048A"/>
    <w:rsid w:val="00E1317E"/>
    <w:rsid w:val="00E13368"/>
    <w:rsid w:val="00E14E7E"/>
    <w:rsid w:val="00E15C77"/>
    <w:rsid w:val="00E161DD"/>
    <w:rsid w:val="00E1637E"/>
    <w:rsid w:val="00E1663C"/>
    <w:rsid w:val="00E217D7"/>
    <w:rsid w:val="00E22C74"/>
    <w:rsid w:val="00E2307C"/>
    <w:rsid w:val="00E230E2"/>
    <w:rsid w:val="00E2361A"/>
    <w:rsid w:val="00E25ADD"/>
    <w:rsid w:val="00E25B11"/>
    <w:rsid w:val="00E274E9"/>
    <w:rsid w:val="00E30F56"/>
    <w:rsid w:val="00E33EEF"/>
    <w:rsid w:val="00E34427"/>
    <w:rsid w:val="00E34594"/>
    <w:rsid w:val="00E347CA"/>
    <w:rsid w:val="00E3483A"/>
    <w:rsid w:val="00E3630B"/>
    <w:rsid w:val="00E37FE5"/>
    <w:rsid w:val="00E409A6"/>
    <w:rsid w:val="00E40E4D"/>
    <w:rsid w:val="00E4457C"/>
    <w:rsid w:val="00E507C1"/>
    <w:rsid w:val="00E535D6"/>
    <w:rsid w:val="00E53970"/>
    <w:rsid w:val="00E53C83"/>
    <w:rsid w:val="00E55283"/>
    <w:rsid w:val="00E56648"/>
    <w:rsid w:val="00E578CD"/>
    <w:rsid w:val="00E600DE"/>
    <w:rsid w:val="00E6073D"/>
    <w:rsid w:val="00E6187C"/>
    <w:rsid w:val="00E618DA"/>
    <w:rsid w:val="00E61FDB"/>
    <w:rsid w:val="00E62A8A"/>
    <w:rsid w:val="00E63D4E"/>
    <w:rsid w:val="00E65E4B"/>
    <w:rsid w:val="00E70560"/>
    <w:rsid w:val="00E719AF"/>
    <w:rsid w:val="00E72D3A"/>
    <w:rsid w:val="00E72D99"/>
    <w:rsid w:val="00E73B68"/>
    <w:rsid w:val="00E74C01"/>
    <w:rsid w:val="00E76C57"/>
    <w:rsid w:val="00E774AE"/>
    <w:rsid w:val="00E77F9D"/>
    <w:rsid w:val="00E80B31"/>
    <w:rsid w:val="00E80ECD"/>
    <w:rsid w:val="00E817CC"/>
    <w:rsid w:val="00E82F9A"/>
    <w:rsid w:val="00E832B4"/>
    <w:rsid w:val="00E83A52"/>
    <w:rsid w:val="00E85B61"/>
    <w:rsid w:val="00E919A0"/>
    <w:rsid w:val="00E92E7E"/>
    <w:rsid w:val="00E9593A"/>
    <w:rsid w:val="00E95A41"/>
    <w:rsid w:val="00EA1677"/>
    <w:rsid w:val="00EA26B3"/>
    <w:rsid w:val="00EA2734"/>
    <w:rsid w:val="00EA328B"/>
    <w:rsid w:val="00EA453B"/>
    <w:rsid w:val="00EA4757"/>
    <w:rsid w:val="00EA4A12"/>
    <w:rsid w:val="00EA4A48"/>
    <w:rsid w:val="00EA5E5D"/>
    <w:rsid w:val="00EA7D97"/>
    <w:rsid w:val="00EB1392"/>
    <w:rsid w:val="00EB3B2E"/>
    <w:rsid w:val="00EB5B75"/>
    <w:rsid w:val="00EC0855"/>
    <w:rsid w:val="00EC0A79"/>
    <w:rsid w:val="00EC1229"/>
    <w:rsid w:val="00EC2431"/>
    <w:rsid w:val="00EC35A8"/>
    <w:rsid w:val="00EC3648"/>
    <w:rsid w:val="00EC3CCA"/>
    <w:rsid w:val="00EC5654"/>
    <w:rsid w:val="00EC6392"/>
    <w:rsid w:val="00ED0C7B"/>
    <w:rsid w:val="00ED2869"/>
    <w:rsid w:val="00ED343A"/>
    <w:rsid w:val="00ED50E5"/>
    <w:rsid w:val="00ED58DF"/>
    <w:rsid w:val="00ED718A"/>
    <w:rsid w:val="00ED7FB1"/>
    <w:rsid w:val="00EE1135"/>
    <w:rsid w:val="00EE1B03"/>
    <w:rsid w:val="00EE25F4"/>
    <w:rsid w:val="00EE30DD"/>
    <w:rsid w:val="00EE3BFD"/>
    <w:rsid w:val="00EE4279"/>
    <w:rsid w:val="00EE4ADF"/>
    <w:rsid w:val="00EE5070"/>
    <w:rsid w:val="00EF357A"/>
    <w:rsid w:val="00EF4BC2"/>
    <w:rsid w:val="00EF58F3"/>
    <w:rsid w:val="00F01205"/>
    <w:rsid w:val="00F035AD"/>
    <w:rsid w:val="00F036B6"/>
    <w:rsid w:val="00F0579F"/>
    <w:rsid w:val="00F10E09"/>
    <w:rsid w:val="00F10E35"/>
    <w:rsid w:val="00F12837"/>
    <w:rsid w:val="00F13E7E"/>
    <w:rsid w:val="00F179FB"/>
    <w:rsid w:val="00F219A4"/>
    <w:rsid w:val="00F23F09"/>
    <w:rsid w:val="00F2431E"/>
    <w:rsid w:val="00F24D08"/>
    <w:rsid w:val="00F26D62"/>
    <w:rsid w:val="00F27770"/>
    <w:rsid w:val="00F278A6"/>
    <w:rsid w:val="00F30823"/>
    <w:rsid w:val="00F32C08"/>
    <w:rsid w:val="00F33E7E"/>
    <w:rsid w:val="00F36533"/>
    <w:rsid w:val="00F36A21"/>
    <w:rsid w:val="00F36D5D"/>
    <w:rsid w:val="00F4028B"/>
    <w:rsid w:val="00F4113E"/>
    <w:rsid w:val="00F43C47"/>
    <w:rsid w:val="00F45ECB"/>
    <w:rsid w:val="00F50C66"/>
    <w:rsid w:val="00F51DB4"/>
    <w:rsid w:val="00F54D35"/>
    <w:rsid w:val="00F620BC"/>
    <w:rsid w:val="00F648CA"/>
    <w:rsid w:val="00F66854"/>
    <w:rsid w:val="00F7083E"/>
    <w:rsid w:val="00F76042"/>
    <w:rsid w:val="00F76B38"/>
    <w:rsid w:val="00F8236A"/>
    <w:rsid w:val="00F856B0"/>
    <w:rsid w:val="00F85A7E"/>
    <w:rsid w:val="00F85F14"/>
    <w:rsid w:val="00F9101C"/>
    <w:rsid w:val="00F927F2"/>
    <w:rsid w:val="00F95C17"/>
    <w:rsid w:val="00F96C94"/>
    <w:rsid w:val="00FA0A39"/>
    <w:rsid w:val="00FA2901"/>
    <w:rsid w:val="00FA3265"/>
    <w:rsid w:val="00FA4F10"/>
    <w:rsid w:val="00FA53D9"/>
    <w:rsid w:val="00FA632B"/>
    <w:rsid w:val="00FB6F6A"/>
    <w:rsid w:val="00FC013B"/>
    <w:rsid w:val="00FC13D9"/>
    <w:rsid w:val="00FC23ED"/>
    <w:rsid w:val="00FC2C96"/>
    <w:rsid w:val="00FC37D3"/>
    <w:rsid w:val="00FC5247"/>
    <w:rsid w:val="00FC6E7B"/>
    <w:rsid w:val="00FD03E8"/>
    <w:rsid w:val="00FD19BF"/>
    <w:rsid w:val="00FD3E0B"/>
    <w:rsid w:val="00FD7349"/>
    <w:rsid w:val="00FE0D0C"/>
    <w:rsid w:val="00FE331E"/>
    <w:rsid w:val="00FE3A14"/>
    <w:rsid w:val="00FE59EA"/>
    <w:rsid w:val="00FE71D5"/>
    <w:rsid w:val="00FE732A"/>
    <w:rsid w:val="00FE7EAE"/>
    <w:rsid w:val="00FF08FF"/>
    <w:rsid w:val="00FF1615"/>
    <w:rsid w:val="00FF17D9"/>
    <w:rsid w:val="00FF3D8B"/>
    <w:rsid w:val="00FF4B4D"/>
    <w:rsid w:val="00FF5EF3"/>
    <w:rsid w:val="00FF6861"/>
    <w:rsid w:val="00FF7A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A5E1AB"/>
  <w15:docId w15:val="{FDBF775B-6FF0-4BF7-A5F2-159EB875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553F"/>
    <w:rPr>
      <w:sz w:val="24"/>
      <w:szCs w:val="24"/>
    </w:rPr>
  </w:style>
  <w:style w:type="paragraph" w:styleId="Nagwek1">
    <w:name w:val="heading 1"/>
    <w:basedOn w:val="Normalny"/>
    <w:next w:val="Normalny"/>
    <w:qFormat/>
    <w:rsid w:val="00171A92"/>
    <w:pPr>
      <w:keepNext/>
      <w:widowControl w:val="0"/>
      <w:autoSpaceDE w:val="0"/>
      <w:autoSpaceDN w:val="0"/>
      <w:adjustRightInd w:val="0"/>
      <w:spacing w:line="200" w:lineRule="exact"/>
      <w:ind w:right="-20"/>
      <w:outlineLvl w:val="0"/>
    </w:pPr>
    <w:rPr>
      <w:rFonts w:eastAsia="MS Mincho"/>
      <w:b/>
      <w:bCs/>
      <w:w w:val="98"/>
      <w:sz w:val="20"/>
      <w:szCs w:val="20"/>
    </w:rPr>
  </w:style>
  <w:style w:type="paragraph" w:styleId="Nagwek2">
    <w:name w:val="heading 2"/>
    <w:basedOn w:val="Normalny"/>
    <w:next w:val="Normalny"/>
    <w:qFormat/>
    <w:rsid w:val="00A76804"/>
    <w:pPr>
      <w:keepNext/>
      <w:outlineLvl w:val="1"/>
    </w:pPr>
    <w:rPr>
      <w:b/>
      <w:szCs w:val="20"/>
      <w:lang w:val="en-AU" w:eastAsia="en-US"/>
    </w:rPr>
  </w:style>
  <w:style w:type="paragraph" w:styleId="Nagwek3">
    <w:name w:val="heading 3"/>
    <w:basedOn w:val="Normalny"/>
    <w:next w:val="Normalny"/>
    <w:qFormat/>
    <w:rsid w:val="00A76804"/>
    <w:pPr>
      <w:keepNext/>
      <w:tabs>
        <w:tab w:val="left" w:pos="709"/>
        <w:tab w:val="num" w:pos="1134"/>
      </w:tabs>
      <w:ind w:left="1134" w:hanging="567"/>
      <w:outlineLvl w:val="2"/>
    </w:pPr>
    <w:rPr>
      <w:b/>
      <w:snapToGrid w:val="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ZnakZnak1"/>
    <w:uiPriority w:val="99"/>
    <w:semiHidden/>
    <w:unhideWhenUsed/>
  </w:style>
  <w:style w:type="paragraph" w:styleId="Nagwek">
    <w:name w:val="header"/>
    <w:basedOn w:val="Normalny"/>
    <w:rsid w:val="005B27B4"/>
    <w:pPr>
      <w:tabs>
        <w:tab w:val="center" w:pos="4536"/>
        <w:tab w:val="right" w:pos="9072"/>
      </w:tabs>
    </w:pPr>
  </w:style>
  <w:style w:type="paragraph" w:styleId="Stopka">
    <w:name w:val="footer"/>
    <w:basedOn w:val="Normalny"/>
    <w:link w:val="StopkaZnak"/>
    <w:uiPriority w:val="99"/>
    <w:rsid w:val="005B27B4"/>
    <w:pPr>
      <w:tabs>
        <w:tab w:val="center" w:pos="4536"/>
        <w:tab w:val="right" w:pos="9072"/>
      </w:tabs>
    </w:pPr>
  </w:style>
  <w:style w:type="paragraph" w:customStyle="1" w:styleId="xl37">
    <w:name w:val="xl37"/>
    <w:basedOn w:val="Normalny"/>
    <w:rsid w:val="00090100"/>
    <w:pPr>
      <w:spacing w:before="100" w:after="100"/>
      <w:jc w:val="center"/>
      <w:textAlignment w:val="center"/>
    </w:pPr>
    <w:rPr>
      <w:rFonts w:eastAsia="Arial Unicode MS"/>
      <w:noProof/>
      <w:sz w:val="18"/>
      <w:szCs w:val="20"/>
    </w:rPr>
  </w:style>
  <w:style w:type="paragraph" w:styleId="Tekstpodstawowy3">
    <w:name w:val="Body Text 3"/>
    <w:basedOn w:val="Normalny"/>
    <w:rsid w:val="00090100"/>
    <w:pPr>
      <w:spacing w:after="120"/>
    </w:pPr>
    <w:rPr>
      <w:sz w:val="16"/>
      <w:szCs w:val="16"/>
    </w:rPr>
  </w:style>
  <w:style w:type="paragraph" w:styleId="Tekstpodstawowy">
    <w:name w:val="Body Text"/>
    <w:basedOn w:val="Normalny"/>
    <w:link w:val="TekstpodstawowyZnak"/>
    <w:rsid w:val="00BE631A"/>
    <w:pPr>
      <w:spacing w:after="120"/>
    </w:pPr>
  </w:style>
  <w:style w:type="paragraph" w:customStyle="1" w:styleId="firmwka">
    <w:name w:val="firmówka"/>
    <w:basedOn w:val="Normalny"/>
    <w:rsid w:val="00D2107A"/>
    <w:pPr>
      <w:spacing w:line="360" w:lineRule="auto"/>
      <w:jc w:val="both"/>
    </w:pPr>
  </w:style>
  <w:style w:type="paragraph" w:styleId="Tekstdymka">
    <w:name w:val="Balloon Text"/>
    <w:basedOn w:val="Normalny"/>
    <w:semiHidden/>
    <w:rsid w:val="00472648"/>
    <w:rPr>
      <w:rFonts w:ascii="Tahoma" w:hAnsi="Tahoma" w:cs="Tahoma"/>
      <w:sz w:val="16"/>
      <w:szCs w:val="16"/>
    </w:rPr>
  </w:style>
  <w:style w:type="character" w:styleId="Numerstrony">
    <w:name w:val="page number"/>
    <w:basedOn w:val="Domylnaczcionkaakapitu"/>
    <w:rsid w:val="001D4503"/>
  </w:style>
  <w:style w:type="table" w:styleId="Tabela-Siatka">
    <w:name w:val="Table Grid"/>
    <w:basedOn w:val="Standardowy"/>
    <w:rsid w:val="001027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1">
    <w:name w:val="Znak Znak Znak Znak1"/>
    <w:basedOn w:val="Normalny"/>
    <w:link w:val="Bezlisty"/>
    <w:uiPriority w:val="99"/>
    <w:rsid w:val="00522C56"/>
    <w:pPr>
      <w:spacing w:after="120" w:line="360" w:lineRule="auto"/>
      <w:jc w:val="both"/>
    </w:pPr>
    <w:rPr>
      <w:rFonts w:ascii="Verdana" w:hAnsi="Verdana"/>
      <w:sz w:val="20"/>
      <w:szCs w:val="20"/>
    </w:rPr>
  </w:style>
  <w:style w:type="paragraph" w:customStyle="1" w:styleId="Bodysingle4">
    <w:name w:val="Body single 4"/>
    <w:basedOn w:val="Normalny"/>
    <w:rsid w:val="00522C56"/>
    <w:rPr>
      <w:snapToGrid w:val="0"/>
      <w:color w:val="000000"/>
      <w:sz w:val="20"/>
      <w:szCs w:val="20"/>
      <w:lang w:val="en-AU" w:eastAsia="en-US"/>
    </w:rPr>
  </w:style>
  <w:style w:type="character" w:customStyle="1" w:styleId="dane">
    <w:name w:val="dane"/>
    <w:basedOn w:val="Domylnaczcionkaakapitu"/>
    <w:rsid w:val="00CD43EB"/>
  </w:style>
  <w:style w:type="character" w:styleId="Odwoaniedokomentarza">
    <w:name w:val="annotation reference"/>
    <w:semiHidden/>
    <w:rsid w:val="00582A4C"/>
    <w:rPr>
      <w:sz w:val="16"/>
      <w:szCs w:val="16"/>
    </w:rPr>
  </w:style>
  <w:style w:type="paragraph" w:styleId="Tekstkomentarza">
    <w:name w:val="annotation text"/>
    <w:basedOn w:val="Normalny"/>
    <w:semiHidden/>
    <w:rsid w:val="00582A4C"/>
    <w:rPr>
      <w:sz w:val="20"/>
      <w:szCs w:val="20"/>
    </w:rPr>
  </w:style>
  <w:style w:type="paragraph" w:styleId="Tematkomentarza">
    <w:name w:val="annotation subject"/>
    <w:basedOn w:val="Tekstkomentarza"/>
    <w:next w:val="Tekstkomentarza"/>
    <w:semiHidden/>
    <w:rsid w:val="00582A4C"/>
    <w:rPr>
      <w:b/>
      <w:bCs/>
    </w:rPr>
  </w:style>
  <w:style w:type="paragraph" w:customStyle="1" w:styleId="StyleASSETnormal">
    <w:name w:val="Style ASSET_normal"/>
    <w:basedOn w:val="Normalny"/>
    <w:link w:val="StyleASSETnormalChar"/>
    <w:rsid w:val="006C64C9"/>
    <w:pPr>
      <w:spacing w:before="120" w:after="120"/>
      <w:jc w:val="both"/>
    </w:pPr>
    <w:rPr>
      <w:rFonts w:ascii="Arial" w:hAnsi="Arial"/>
      <w:sz w:val="22"/>
    </w:rPr>
  </w:style>
  <w:style w:type="character" w:customStyle="1" w:styleId="StyleASSETnormalChar">
    <w:name w:val="Style ASSET_normal Char"/>
    <w:link w:val="StyleASSETnormal"/>
    <w:rsid w:val="006C64C9"/>
    <w:rPr>
      <w:rFonts w:ascii="Arial" w:hAnsi="Arial"/>
      <w:sz w:val="22"/>
      <w:szCs w:val="24"/>
      <w:lang w:val="pl-PL" w:eastAsia="pl-PL" w:bidi="ar-SA"/>
    </w:rPr>
  </w:style>
  <w:style w:type="paragraph" w:customStyle="1" w:styleId="Assetnumerowanieboldem">
    <w:name w:val="Asset numerowanie boldem"/>
    <w:basedOn w:val="Nagwek2"/>
    <w:rsid w:val="006C64C9"/>
    <w:pPr>
      <w:numPr>
        <w:numId w:val="1"/>
      </w:numPr>
      <w:tabs>
        <w:tab w:val="left" w:pos="567"/>
      </w:tabs>
      <w:jc w:val="both"/>
    </w:pPr>
    <w:rPr>
      <w:rFonts w:ascii="Arial" w:hAnsi="Arial" w:cs="Arial"/>
      <w:bCs/>
      <w:iCs/>
      <w:sz w:val="22"/>
      <w:szCs w:val="22"/>
      <w:lang w:val="pl-PL" w:eastAsia="pl-PL"/>
    </w:rPr>
  </w:style>
  <w:style w:type="paragraph" w:styleId="Zwykytekst">
    <w:name w:val="Plain Text"/>
    <w:basedOn w:val="Normalny"/>
    <w:link w:val="ZwykytekstZnak"/>
    <w:uiPriority w:val="99"/>
    <w:rsid w:val="00850238"/>
    <w:rPr>
      <w:rFonts w:ascii="Courier New" w:hAnsi="Courier New"/>
      <w:sz w:val="20"/>
      <w:szCs w:val="20"/>
    </w:rPr>
  </w:style>
  <w:style w:type="paragraph" w:customStyle="1" w:styleId="Styl2">
    <w:name w:val="Styl2"/>
    <w:basedOn w:val="Nagwek"/>
    <w:rsid w:val="00171A92"/>
    <w:pPr>
      <w:pBdr>
        <w:bottom w:val="single" w:sz="4" w:space="1" w:color="auto"/>
      </w:pBdr>
    </w:pPr>
    <w:rPr>
      <w:i/>
      <w:color w:val="333333"/>
    </w:rPr>
  </w:style>
  <w:style w:type="paragraph" w:customStyle="1" w:styleId="Styl1">
    <w:name w:val="Styl1"/>
    <w:basedOn w:val="Nagwek"/>
    <w:rsid w:val="00171A92"/>
    <w:pPr>
      <w:pBdr>
        <w:bottom w:val="single" w:sz="6" w:space="1" w:color="auto"/>
      </w:pBdr>
    </w:pPr>
    <w:rPr>
      <w:rFonts w:ascii="Arial" w:hAnsi="Arial"/>
      <w:i/>
      <w:sz w:val="20"/>
      <w:szCs w:val="20"/>
    </w:rPr>
  </w:style>
  <w:style w:type="paragraph" w:customStyle="1" w:styleId="ZnakZnakZnakZnak">
    <w:name w:val="Znak Znak Znak Znak"/>
    <w:basedOn w:val="Normalny"/>
    <w:rsid w:val="00171A92"/>
    <w:pPr>
      <w:spacing w:after="120" w:line="360" w:lineRule="auto"/>
      <w:jc w:val="both"/>
    </w:pPr>
    <w:rPr>
      <w:rFonts w:ascii="Verdana" w:hAnsi="Verdana"/>
      <w:sz w:val="20"/>
      <w:szCs w:val="20"/>
    </w:rPr>
  </w:style>
  <w:style w:type="paragraph" w:customStyle="1" w:styleId="1HLBnumerowanie">
    <w:name w:val="1_HLB_numerowanie"/>
    <w:basedOn w:val="Normalny"/>
    <w:rsid w:val="00171A92"/>
    <w:pPr>
      <w:numPr>
        <w:numId w:val="3"/>
      </w:numPr>
      <w:spacing w:before="120" w:after="120" w:line="320" w:lineRule="atLeast"/>
      <w:jc w:val="both"/>
    </w:pPr>
    <w:rPr>
      <w:rFonts w:ascii="Book Antiqua" w:hAnsi="Book Antiqua"/>
      <w:sz w:val="22"/>
    </w:rPr>
  </w:style>
  <w:style w:type="paragraph" w:customStyle="1" w:styleId="4HLBnumerowanie">
    <w:name w:val="4_HLB_numerowanie"/>
    <w:basedOn w:val="Normalny"/>
    <w:rsid w:val="00171A92"/>
    <w:pPr>
      <w:numPr>
        <w:ilvl w:val="3"/>
        <w:numId w:val="3"/>
      </w:numPr>
      <w:spacing w:after="120" w:line="320" w:lineRule="atLeast"/>
      <w:jc w:val="both"/>
    </w:pPr>
    <w:rPr>
      <w:rFonts w:ascii="Book Antiqua" w:hAnsi="Book Antiqua"/>
      <w:sz w:val="22"/>
    </w:rPr>
  </w:style>
  <w:style w:type="paragraph" w:customStyle="1" w:styleId="3HLBnumerowanie">
    <w:name w:val="3_HLB_numerowanie"/>
    <w:basedOn w:val="Normalny"/>
    <w:rsid w:val="00171A92"/>
    <w:pPr>
      <w:numPr>
        <w:ilvl w:val="2"/>
        <w:numId w:val="3"/>
      </w:numPr>
      <w:spacing w:after="120" w:line="320" w:lineRule="atLeast"/>
      <w:jc w:val="both"/>
    </w:pPr>
    <w:rPr>
      <w:rFonts w:ascii="Book Antiqua" w:hAnsi="Book Antiqua"/>
      <w:sz w:val="22"/>
    </w:rPr>
  </w:style>
  <w:style w:type="paragraph" w:customStyle="1" w:styleId="2HLBnumerowanie">
    <w:name w:val="2_HLB_numerowanie"/>
    <w:basedOn w:val="Normalny"/>
    <w:rsid w:val="00171A92"/>
    <w:pPr>
      <w:numPr>
        <w:ilvl w:val="1"/>
        <w:numId w:val="3"/>
      </w:numPr>
      <w:spacing w:after="120" w:line="320" w:lineRule="atLeast"/>
      <w:jc w:val="both"/>
    </w:pPr>
    <w:rPr>
      <w:rFonts w:ascii="Book Antiqua" w:hAnsi="Book Antiqua"/>
      <w:sz w:val="22"/>
    </w:rPr>
  </w:style>
  <w:style w:type="paragraph" w:customStyle="1" w:styleId="0HLBpismo">
    <w:name w:val="0_HLB_pismo"/>
    <w:basedOn w:val="Normalny"/>
    <w:rsid w:val="00171A92"/>
    <w:pPr>
      <w:spacing w:before="120" w:after="120" w:line="320" w:lineRule="atLeast"/>
      <w:ind w:firstLine="425"/>
      <w:jc w:val="both"/>
    </w:pPr>
    <w:rPr>
      <w:rFonts w:ascii="Book Antiqua" w:hAnsi="Book Antiqua"/>
      <w:sz w:val="22"/>
    </w:rPr>
  </w:style>
  <w:style w:type="paragraph" w:styleId="Lista2">
    <w:name w:val="List 2"/>
    <w:basedOn w:val="Normalny"/>
    <w:rsid w:val="00171A92"/>
    <w:pPr>
      <w:spacing w:line="320" w:lineRule="atLeast"/>
      <w:ind w:left="566" w:hanging="283"/>
      <w:jc w:val="both"/>
    </w:pPr>
    <w:rPr>
      <w:rFonts w:ascii="Book Antiqua" w:hAnsi="Book Antiqua"/>
      <w:sz w:val="22"/>
    </w:rPr>
  </w:style>
  <w:style w:type="paragraph" w:styleId="Listapunktowana3">
    <w:name w:val="List Bullet 3"/>
    <w:basedOn w:val="Normalny"/>
    <w:rsid w:val="00171A92"/>
    <w:pPr>
      <w:numPr>
        <w:numId w:val="2"/>
      </w:numPr>
      <w:spacing w:line="320" w:lineRule="atLeast"/>
      <w:jc w:val="both"/>
    </w:pPr>
    <w:rPr>
      <w:rFonts w:ascii="Book Antiqua" w:hAnsi="Book Antiqua"/>
      <w:sz w:val="22"/>
    </w:rPr>
  </w:style>
  <w:style w:type="paragraph" w:customStyle="1" w:styleId="Indent2">
    <w:name w:val="Indent 2"/>
    <w:basedOn w:val="Normalny"/>
    <w:rsid w:val="00171A92"/>
    <w:pPr>
      <w:tabs>
        <w:tab w:val="left" w:pos="1134"/>
      </w:tabs>
      <w:overflowPunct w:val="0"/>
      <w:autoSpaceDE w:val="0"/>
      <w:autoSpaceDN w:val="0"/>
      <w:adjustRightInd w:val="0"/>
      <w:spacing w:after="80"/>
      <w:ind w:left="1134" w:hanging="567"/>
      <w:jc w:val="both"/>
      <w:textAlignment w:val="baseline"/>
    </w:pPr>
    <w:rPr>
      <w:color w:val="000000"/>
      <w:sz w:val="20"/>
      <w:szCs w:val="20"/>
      <w:lang w:eastAsia="en-US"/>
    </w:rPr>
  </w:style>
  <w:style w:type="character" w:customStyle="1" w:styleId="BoldItalic">
    <w:name w:val="Bold Italic"/>
    <w:rsid w:val="00171A92"/>
    <w:rPr>
      <w:b/>
      <w:i/>
    </w:rPr>
  </w:style>
  <w:style w:type="paragraph" w:customStyle="1" w:styleId="Indent1Relative">
    <w:name w:val="Indent 1 Relative"/>
    <w:basedOn w:val="Normalny"/>
    <w:rsid w:val="00171A92"/>
    <w:pPr>
      <w:overflowPunct w:val="0"/>
      <w:autoSpaceDE w:val="0"/>
      <w:autoSpaceDN w:val="0"/>
      <w:adjustRightInd w:val="0"/>
      <w:spacing w:after="140"/>
      <w:ind w:left="567"/>
      <w:jc w:val="both"/>
      <w:textAlignment w:val="baseline"/>
    </w:pPr>
    <w:rPr>
      <w:color w:val="000000"/>
      <w:sz w:val="20"/>
      <w:szCs w:val="20"/>
      <w:lang w:eastAsia="en-US"/>
    </w:rPr>
  </w:style>
  <w:style w:type="character" w:customStyle="1" w:styleId="BoldItalicUnderline">
    <w:name w:val="Bold Italic Underline"/>
    <w:rsid w:val="00171A92"/>
    <w:rPr>
      <w:rFonts w:ascii="Times New Roman" w:hAnsi="Times New Roman"/>
      <w:b/>
      <w:i/>
      <w:color w:val="000000"/>
      <w:sz w:val="20"/>
    </w:rPr>
  </w:style>
  <w:style w:type="paragraph" w:customStyle="1" w:styleId="ZnakZnak1">
    <w:name w:val="Znak Znak1"/>
    <w:basedOn w:val="Normalny"/>
    <w:rsid w:val="00171A92"/>
    <w:pPr>
      <w:spacing w:after="120" w:line="360" w:lineRule="auto"/>
      <w:jc w:val="both"/>
    </w:pPr>
    <w:rPr>
      <w:rFonts w:ascii="Verdana" w:hAnsi="Verdana"/>
      <w:sz w:val="20"/>
      <w:szCs w:val="20"/>
    </w:rPr>
  </w:style>
  <w:style w:type="paragraph" w:styleId="Poprawka">
    <w:name w:val="Revision"/>
    <w:hidden/>
    <w:uiPriority w:val="99"/>
    <w:semiHidden/>
    <w:rsid w:val="00A61B99"/>
    <w:rPr>
      <w:sz w:val="24"/>
      <w:szCs w:val="24"/>
    </w:rPr>
  </w:style>
  <w:style w:type="paragraph" w:customStyle="1" w:styleId="ASSETbulLetkwadrat">
    <w:name w:val="ASSET_bulLet kwadrat"/>
    <w:basedOn w:val="Normalny"/>
    <w:rsid w:val="00F7083E"/>
    <w:pPr>
      <w:numPr>
        <w:numId w:val="4"/>
      </w:numPr>
      <w:spacing w:before="120" w:after="120"/>
      <w:jc w:val="both"/>
    </w:pPr>
    <w:rPr>
      <w:rFonts w:ascii="Arial" w:hAnsi="Arial"/>
      <w:sz w:val="20"/>
      <w:szCs w:val="20"/>
    </w:rPr>
  </w:style>
  <w:style w:type="paragraph" w:customStyle="1" w:styleId="ASSETbulLetkwadrat0">
    <w:name w:val="ASSET_bulLet_ kwadrat"/>
    <w:basedOn w:val="ASSETbulLetkwadrat"/>
    <w:autoRedefine/>
    <w:rsid w:val="00F7083E"/>
    <w:pPr>
      <w:numPr>
        <w:ilvl w:val="1"/>
      </w:numPr>
    </w:pPr>
    <w:rPr>
      <w:rFonts w:cs="Arial"/>
      <w:sz w:val="18"/>
      <w:szCs w:val="18"/>
      <w:u w:val="single"/>
    </w:rPr>
  </w:style>
  <w:style w:type="paragraph" w:customStyle="1" w:styleId="ASSETbulLetkreska">
    <w:name w:val="ASSET_bulLet kreska"/>
    <w:basedOn w:val="Normalny"/>
    <w:autoRedefine/>
    <w:rsid w:val="00CA7099"/>
    <w:pPr>
      <w:numPr>
        <w:numId w:val="5"/>
      </w:numPr>
      <w:ind w:left="709" w:hanging="425"/>
      <w:jc w:val="both"/>
    </w:pPr>
    <w:rPr>
      <w:rFonts w:ascii="Arial" w:hAnsi="Arial"/>
      <w:bCs/>
      <w:sz w:val="18"/>
      <w:szCs w:val="18"/>
    </w:rPr>
  </w:style>
  <w:style w:type="paragraph" w:customStyle="1" w:styleId="ASSETtytu4">
    <w:name w:val="ASSET_tytuł4"/>
    <w:basedOn w:val="Normalny"/>
    <w:rsid w:val="00F7083E"/>
    <w:pPr>
      <w:spacing w:before="120" w:after="120"/>
      <w:jc w:val="both"/>
    </w:pPr>
    <w:rPr>
      <w:rFonts w:ascii="Arial" w:hAnsi="Arial"/>
      <w:b/>
      <w:sz w:val="20"/>
      <w:szCs w:val="20"/>
    </w:rPr>
  </w:style>
  <w:style w:type="character" w:customStyle="1" w:styleId="TekstpodstawowyZnak">
    <w:name w:val="Tekst podstawowy Znak"/>
    <w:link w:val="Tekstpodstawowy"/>
    <w:rsid w:val="009B6B80"/>
    <w:rPr>
      <w:sz w:val="24"/>
      <w:szCs w:val="24"/>
      <w:lang w:val="pl-PL" w:eastAsia="pl-PL" w:bidi="ar-SA"/>
    </w:rPr>
  </w:style>
  <w:style w:type="paragraph" w:customStyle="1" w:styleId="Znak">
    <w:name w:val="Znak"/>
    <w:basedOn w:val="Normalny"/>
    <w:rsid w:val="009B6B80"/>
    <w:pPr>
      <w:spacing w:after="120" w:line="360" w:lineRule="auto"/>
      <w:jc w:val="both"/>
    </w:pPr>
    <w:rPr>
      <w:rFonts w:ascii="Verdana" w:hAnsi="Verdana"/>
      <w:sz w:val="20"/>
      <w:szCs w:val="20"/>
    </w:rPr>
  </w:style>
  <w:style w:type="paragraph" w:customStyle="1" w:styleId="p1">
    <w:name w:val="p1"/>
    <w:basedOn w:val="Normalny"/>
    <w:rsid w:val="008D7514"/>
    <w:pPr>
      <w:spacing w:after="150"/>
    </w:pPr>
  </w:style>
  <w:style w:type="paragraph" w:customStyle="1" w:styleId="p2">
    <w:name w:val="p2"/>
    <w:basedOn w:val="Normalny"/>
    <w:rsid w:val="008D7514"/>
    <w:pPr>
      <w:spacing w:after="150"/>
    </w:pPr>
  </w:style>
  <w:style w:type="paragraph" w:styleId="Spistreci1">
    <w:name w:val="toc 1"/>
    <w:basedOn w:val="Normalny"/>
    <w:next w:val="Normalny"/>
    <w:autoRedefine/>
    <w:uiPriority w:val="39"/>
    <w:qFormat/>
    <w:rsid w:val="008C6BA0"/>
    <w:pPr>
      <w:tabs>
        <w:tab w:val="left" w:pos="284"/>
        <w:tab w:val="right" w:leader="dot" w:pos="9062"/>
      </w:tabs>
      <w:spacing w:before="120"/>
      <w:ind w:left="284" w:right="284" w:hanging="426"/>
      <w:jc w:val="both"/>
    </w:pPr>
    <w:rPr>
      <w:rFonts w:ascii="Calibri" w:hAnsi="Calibri" w:cs="Calibri"/>
      <w:b/>
      <w:bCs/>
      <w:iCs/>
      <w:noProof/>
      <w:sz w:val="22"/>
      <w:szCs w:val="22"/>
    </w:rPr>
  </w:style>
  <w:style w:type="character" w:styleId="Hipercze">
    <w:name w:val="Hyperlink"/>
    <w:uiPriority w:val="99"/>
    <w:rsid w:val="00D50A52"/>
    <w:rPr>
      <w:color w:val="0000FF"/>
      <w:u w:val="single"/>
    </w:rPr>
  </w:style>
  <w:style w:type="paragraph" w:styleId="Spistreci2">
    <w:name w:val="toc 2"/>
    <w:basedOn w:val="Normalny"/>
    <w:next w:val="Normalny"/>
    <w:autoRedefine/>
    <w:uiPriority w:val="39"/>
    <w:qFormat/>
    <w:rsid w:val="00D50A52"/>
    <w:pPr>
      <w:spacing w:before="120"/>
      <w:ind w:left="240"/>
    </w:pPr>
    <w:rPr>
      <w:rFonts w:ascii="Calibri" w:hAnsi="Calibri" w:cs="Calibri"/>
      <w:b/>
      <w:bCs/>
      <w:sz w:val="22"/>
      <w:szCs w:val="22"/>
    </w:rPr>
  </w:style>
  <w:style w:type="paragraph" w:styleId="Indeks1">
    <w:name w:val="index 1"/>
    <w:basedOn w:val="Normalny"/>
    <w:next w:val="Normalny"/>
    <w:autoRedefine/>
    <w:semiHidden/>
    <w:rsid w:val="002663BB"/>
    <w:pPr>
      <w:ind w:left="240" w:hanging="240"/>
    </w:pPr>
  </w:style>
  <w:style w:type="paragraph" w:styleId="Nagwekindeksu">
    <w:name w:val="index heading"/>
    <w:basedOn w:val="Normalny"/>
    <w:next w:val="Indeks1"/>
    <w:semiHidden/>
    <w:rsid w:val="002663BB"/>
    <w:pPr>
      <w:spacing w:after="100" w:line="280" w:lineRule="exact"/>
      <w:jc w:val="both"/>
    </w:pPr>
    <w:rPr>
      <w:sz w:val="20"/>
      <w:szCs w:val="20"/>
      <w:lang w:eastAsia="en-US"/>
    </w:rPr>
  </w:style>
  <w:style w:type="paragraph" w:customStyle="1" w:styleId="MsrSection1">
    <w:name w:val="MsrSection1"/>
    <w:basedOn w:val="Nagwek1"/>
    <w:next w:val="Zwykytekst"/>
    <w:link w:val="MsrSection1ZnakZnak"/>
    <w:rsid w:val="005369FD"/>
    <w:pPr>
      <w:keepLines/>
      <w:widowControl/>
      <w:tabs>
        <w:tab w:val="num" w:pos="360"/>
      </w:tabs>
      <w:autoSpaceDE/>
      <w:autoSpaceDN/>
      <w:adjustRightInd/>
      <w:spacing w:before="720" w:after="360" w:line="240" w:lineRule="auto"/>
      <w:ind w:left="360" w:right="0" w:hanging="360"/>
    </w:pPr>
    <w:rPr>
      <w:rFonts w:ascii="Arial" w:eastAsia="Times New Roman" w:hAnsi="Arial" w:cs="Arial"/>
      <w:i/>
      <w:iCs/>
      <w:color w:val="404040"/>
      <w:w w:val="100"/>
      <w:sz w:val="28"/>
      <w:szCs w:val="28"/>
    </w:rPr>
  </w:style>
  <w:style w:type="character" w:customStyle="1" w:styleId="MsrSection1ZnakZnak">
    <w:name w:val="MsrSection1 Znak Znak"/>
    <w:link w:val="MsrSection1"/>
    <w:locked/>
    <w:rsid w:val="005369FD"/>
    <w:rPr>
      <w:rFonts w:ascii="Arial" w:hAnsi="Arial" w:cs="Arial"/>
      <w:b/>
      <w:bCs/>
      <w:i/>
      <w:iCs/>
      <w:color w:val="404040"/>
      <w:sz w:val="28"/>
      <w:szCs w:val="28"/>
      <w:lang w:val="pl-PL" w:eastAsia="pl-PL" w:bidi="ar-SA"/>
    </w:rPr>
  </w:style>
  <w:style w:type="table" w:styleId="Tabela-Delikatny1">
    <w:name w:val="Table Subtle 1"/>
    <w:basedOn w:val="Standardowy"/>
    <w:rsid w:val="0048189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48189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ZnakZnak17">
    <w:name w:val="Znak Znak17"/>
    <w:basedOn w:val="Normalny"/>
    <w:uiPriority w:val="99"/>
    <w:rsid w:val="008F7C45"/>
    <w:pPr>
      <w:spacing w:after="120" w:line="360" w:lineRule="auto"/>
      <w:jc w:val="both"/>
    </w:pPr>
    <w:rPr>
      <w:rFonts w:ascii="Verdana" w:hAnsi="Verdana"/>
      <w:sz w:val="20"/>
      <w:szCs w:val="20"/>
    </w:rPr>
  </w:style>
  <w:style w:type="paragraph" w:customStyle="1" w:styleId="StylNagwek3">
    <w:name w:val="Styl Nagłówek 3"/>
    <w:basedOn w:val="Nagwek3"/>
    <w:next w:val="Normalny"/>
    <w:uiPriority w:val="99"/>
    <w:rsid w:val="008F7C45"/>
    <w:pPr>
      <w:tabs>
        <w:tab w:val="clear" w:pos="709"/>
        <w:tab w:val="clear" w:pos="1134"/>
        <w:tab w:val="num" w:pos="720"/>
      </w:tabs>
      <w:spacing w:before="240" w:after="60"/>
      <w:ind w:left="720" w:hanging="720"/>
      <w:jc w:val="both"/>
    </w:pPr>
    <w:rPr>
      <w:rFonts w:ascii="Arial Narrow" w:hAnsi="Arial Narrow" w:cs="Arial"/>
      <w:bCs/>
      <w:snapToGrid/>
      <w:szCs w:val="26"/>
      <w:lang w:eastAsia="pl-PL"/>
    </w:rPr>
  </w:style>
  <w:style w:type="character" w:customStyle="1" w:styleId="ZwykytekstZnak">
    <w:name w:val="Zwykły tekst Znak"/>
    <w:link w:val="Zwykytekst"/>
    <w:uiPriority w:val="99"/>
    <w:rsid w:val="00514A99"/>
    <w:rPr>
      <w:rFonts w:ascii="Courier New" w:hAnsi="Courier New" w:cs="Courier New"/>
    </w:rPr>
  </w:style>
  <w:style w:type="paragraph" w:customStyle="1" w:styleId="MsrTableHeader">
    <w:name w:val="MsrTableHeader"/>
    <w:basedOn w:val="Normalny"/>
    <w:rsid w:val="00514A99"/>
    <w:pPr>
      <w:shd w:val="clear" w:color="auto" w:fill="595959"/>
      <w:jc w:val="center"/>
    </w:pPr>
    <w:rPr>
      <w:rFonts w:ascii="Arial Narrow" w:eastAsia="Calibri" w:hAnsi="Arial Narrow" w:cs="Arial Narrow"/>
      <w:b/>
      <w:bCs/>
      <w:color w:val="FFFFFF"/>
      <w:sz w:val="22"/>
      <w:szCs w:val="22"/>
    </w:rPr>
  </w:style>
  <w:style w:type="paragraph" w:customStyle="1" w:styleId="MsrTableCell">
    <w:name w:val="MsrTableCell"/>
    <w:basedOn w:val="Normalny"/>
    <w:uiPriority w:val="99"/>
    <w:rsid w:val="00514A99"/>
    <w:pPr>
      <w:jc w:val="right"/>
    </w:pPr>
    <w:rPr>
      <w:rFonts w:ascii="Arial Narrow" w:eastAsia="Calibri" w:hAnsi="Arial Narrow" w:cs="Arial Narrow"/>
      <w:sz w:val="18"/>
      <w:szCs w:val="18"/>
    </w:rPr>
  </w:style>
  <w:style w:type="paragraph" w:customStyle="1" w:styleId="MsrTableFirstColumn">
    <w:name w:val="MsrTableFirstColumn"/>
    <w:basedOn w:val="MsrTableCell"/>
    <w:rsid w:val="00514A99"/>
    <w:pPr>
      <w:spacing w:before="120" w:after="60"/>
      <w:ind w:left="57"/>
      <w:jc w:val="left"/>
    </w:pPr>
    <w:rPr>
      <w:sz w:val="24"/>
      <w:szCs w:val="24"/>
    </w:rPr>
  </w:style>
  <w:style w:type="character" w:customStyle="1" w:styleId="MsrParagraphZnak">
    <w:name w:val="MsrParagraph Znak"/>
    <w:link w:val="MsrParagraph"/>
    <w:locked/>
    <w:rsid w:val="00A80575"/>
    <w:rPr>
      <w:rFonts w:ascii="Arial Narrow" w:eastAsia="Calibri" w:hAnsi="Arial Narrow" w:cs="Arial Narrow"/>
      <w:sz w:val="24"/>
      <w:szCs w:val="24"/>
    </w:rPr>
  </w:style>
  <w:style w:type="paragraph" w:customStyle="1" w:styleId="MsrParagraph">
    <w:name w:val="MsrParagraph"/>
    <w:basedOn w:val="Normalny"/>
    <w:next w:val="Normalny"/>
    <w:link w:val="MsrParagraphZnak"/>
    <w:rsid w:val="00A80575"/>
    <w:pPr>
      <w:spacing w:line="360" w:lineRule="auto"/>
      <w:ind w:firstLine="397"/>
      <w:jc w:val="both"/>
    </w:pPr>
    <w:rPr>
      <w:rFonts w:ascii="Arial Narrow" w:eastAsia="Calibri" w:hAnsi="Arial Narrow"/>
    </w:rPr>
  </w:style>
  <w:style w:type="paragraph" w:styleId="Akapitzlist">
    <w:name w:val="List Paragraph"/>
    <w:basedOn w:val="Normalny"/>
    <w:uiPriority w:val="34"/>
    <w:qFormat/>
    <w:rsid w:val="007949FA"/>
    <w:pPr>
      <w:ind w:left="708"/>
    </w:pPr>
  </w:style>
  <w:style w:type="paragraph" w:styleId="Tekstprzypisukocowego">
    <w:name w:val="endnote text"/>
    <w:basedOn w:val="Normalny"/>
    <w:link w:val="TekstprzypisukocowegoZnak"/>
    <w:rsid w:val="00CA4E95"/>
    <w:rPr>
      <w:sz w:val="20"/>
      <w:szCs w:val="20"/>
    </w:rPr>
  </w:style>
  <w:style w:type="character" w:customStyle="1" w:styleId="TekstprzypisukocowegoZnak">
    <w:name w:val="Tekst przypisu końcowego Znak"/>
    <w:basedOn w:val="Domylnaczcionkaakapitu"/>
    <w:link w:val="Tekstprzypisukocowego"/>
    <w:rsid w:val="00CA4E95"/>
  </w:style>
  <w:style w:type="character" w:styleId="Odwoanieprzypisukocowego">
    <w:name w:val="endnote reference"/>
    <w:rsid w:val="00CA4E95"/>
    <w:rPr>
      <w:vertAlign w:val="superscript"/>
    </w:rPr>
  </w:style>
  <w:style w:type="paragraph" w:customStyle="1" w:styleId="MsrSection2">
    <w:name w:val="MsrSection2"/>
    <w:basedOn w:val="Nagwek2"/>
    <w:next w:val="Zwykytekst"/>
    <w:link w:val="MsrSection2ZnakZnak"/>
    <w:uiPriority w:val="99"/>
    <w:rsid w:val="00B54B25"/>
    <w:pPr>
      <w:spacing w:before="360" w:after="60" w:line="360" w:lineRule="auto"/>
    </w:pPr>
    <w:rPr>
      <w:rFonts w:ascii="Arial" w:eastAsia="Calibri" w:hAnsi="Arial"/>
      <w:bCs/>
      <w:i/>
      <w:iCs/>
      <w:color w:val="0D0D0D"/>
      <w:szCs w:val="24"/>
    </w:rPr>
  </w:style>
  <w:style w:type="character" w:customStyle="1" w:styleId="MsrSection2ZnakZnak">
    <w:name w:val="MsrSection2 Znak Znak"/>
    <w:link w:val="MsrSection2"/>
    <w:uiPriority w:val="99"/>
    <w:locked/>
    <w:rsid w:val="00B54B25"/>
    <w:rPr>
      <w:rFonts w:ascii="Arial" w:eastAsia="Calibri" w:hAnsi="Arial" w:cs="Arial"/>
      <w:b/>
      <w:bCs/>
      <w:i/>
      <w:iCs/>
      <w:color w:val="0D0D0D"/>
      <w:sz w:val="24"/>
      <w:szCs w:val="24"/>
    </w:rPr>
  </w:style>
  <w:style w:type="paragraph" w:customStyle="1" w:styleId="ZnakZnak11">
    <w:name w:val="Znak Znak11"/>
    <w:basedOn w:val="Normalny"/>
    <w:uiPriority w:val="99"/>
    <w:rsid w:val="004A12D3"/>
    <w:pPr>
      <w:spacing w:after="120" w:line="360" w:lineRule="auto"/>
      <w:jc w:val="both"/>
    </w:pPr>
    <w:rPr>
      <w:rFonts w:ascii="Verdana" w:hAnsi="Verdana"/>
      <w:sz w:val="20"/>
      <w:szCs w:val="20"/>
    </w:rPr>
  </w:style>
  <w:style w:type="paragraph" w:styleId="Nagwekspisutreci">
    <w:name w:val="TOC Heading"/>
    <w:basedOn w:val="Nagwek1"/>
    <w:next w:val="Normalny"/>
    <w:uiPriority w:val="39"/>
    <w:semiHidden/>
    <w:unhideWhenUsed/>
    <w:qFormat/>
    <w:rsid w:val="000F68CA"/>
    <w:pPr>
      <w:keepLines/>
      <w:widowControl/>
      <w:autoSpaceDE/>
      <w:autoSpaceDN/>
      <w:adjustRightInd/>
      <w:spacing w:before="480" w:line="276" w:lineRule="auto"/>
      <w:ind w:right="0"/>
      <w:outlineLvl w:val="9"/>
    </w:pPr>
    <w:rPr>
      <w:rFonts w:ascii="Cambria" w:eastAsia="Times New Roman" w:hAnsi="Cambria"/>
      <w:color w:val="365F91"/>
      <w:w w:val="100"/>
      <w:sz w:val="28"/>
      <w:szCs w:val="28"/>
    </w:rPr>
  </w:style>
  <w:style w:type="paragraph" w:styleId="Spistreci3">
    <w:name w:val="toc 3"/>
    <w:basedOn w:val="Normalny"/>
    <w:next w:val="Normalny"/>
    <w:autoRedefine/>
    <w:uiPriority w:val="39"/>
    <w:unhideWhenUsed/>
    <w:qFormat/>
    <w:rsid w:val="000F68CA"/>
    <w:pPr>
      <w:ind w:left="480"/>
    </w:pPr>
    <w:rPr>
      <w:rFonts w:ascii="Calibri" w:hAnsi="Calibri" w:cs="Calibri"/>
      <w:sz w:val="20"/>
      <w:szCs w:val="20"/>
    </w:rPr>
  </w:style>
  <w:style w:type="paragraph" w:customStyle="1" w:styleId="ZnakZnakZnakZnak10">
    <w:name w:val="Znak Znak Znak Znak1"/>
    <w:basedOn w:val="Normalny"/>
    <w:rsid w:val="00D613AE"/>
    <w:pPr>
      <w:spacing w:after="120" w:line="360" w:lineRule="auto"/>
      <w:jc w:val="both"/>
    </w:pPr>
    <w:rPr>
      <w:rFonts w:ascii="Verdana" w:hAnsi="Verdana"/>
      <w:sz w:val="20"/>
      <w:szCs w:val="20"/>
    </w:rPr>
  </w:style>
  <w:style w:type="paragraph" w:customStyle="1" w:styleId="Default">
    <w:name w:val="Default"/>
    <w:rsid w:val="00E33EEF"/>
    <w:pPr>
      <w:autoSpaceDE w:val="0"/>
      <w:autoSpaceDN w:val="0"/>
      <w:adjustRightInd w:val="0"/>
    </w:pPr>
    <w:rPr>
      <w:rFonts w:ascii="Calibri" w:hAnsi="Calibri" w:cs="Calibri"/>
      <w:color w:val="000000"/>
      <w:sz w:val="24"/>
      <w:szCs w:val="24"/>
      <w:lang w:eastAsia="en-US"/>
    </w:rPr>
  </w:style>
  <w:style w:type="paragraph" w:customStyle="1" w:styleId="Akapitzlist1">
    <w:name w:val="Akapit z listą1"/>
    <w:basedOn w:val="Normalny"/>
    <w:rsid w:val="00E33EEF"/>
    <w:pPr>
      <w:spacing w:after="200" w:line="276" w:lineRule="auto"/>
      <w:ind w:left="720"/>
    </w:pPr>
    <w:rPr>
      <w:rFonts w:ascii="Calibri" w:hAnsi="Calibri" w:cs="Calibri"/>
      <w:sz w:val="22"/>
      <w:szCs w:val="22"/>
      <w:lang w:eastAsia="en-US"/>
    </w:rPr>
  </w:style>
  <w:style w:type="paragraph" w:customStyle="1" w:styleId="artyku">
    <w:name w:val="artykuł"/>
    <w:basedOn w:val="Normalny"/>
    <w:autoRedefine/>
    <w:rsid w:val="00E33EEF"/>
    <w:pPr>
      <w:spacing w:before="60" w:afterLines="60"/>
      <w:jc w:val="center"/>
    </w:pPr>
    <w:rPr>
      <w:rFonts w:ascii="Calibri" w:hAnsi="Calibri"/>
      <w:szCs w:val="22"/>
      <w:u w:val="single"/>
      <w:lang w:val="en-US" w:eastAsia="en-US" w:bidi="en-US"/>
    </w:rPr>
  </w:style>
  <w:style w:type="paragraph" w:customStyle="1" w:styleId="Numerowaniestats">
    <w:name w:val="Numerowanie_stats"/>
    <w:basedOn w:val="Normalny"/>
    <w:autoRedefine/>
    <w:rsid w:val="00E33EEF"/>
    <w:pPr>
      <w:spacing w:before="120"/>
      <w:jc w:val="both"/>
      <w:outlineLvl w:val="2"/>
    </w:pPr>
    <w:rPr>
      <w:rFonts w:ascii="Arial" w:hAnsi="Arial" w:cs="Arial"/>
      <w:sz w:val="18"/>
      <w:szCs w:val="18"/>
    </w:rPr>
  </w:style>
  <w:style w:type="paragraph" w:styleId="Spistreci4">
    <w:name w:val="toc 4"/>
    <w:basedOn w:val="Normalny"/>
    <w:next w:val="Normalny"/>
    <w:autoRedefine/>
    <w:rsid w:val="00D33D3A"/>
    <w:pPr>
      <w:ind w:left="720"/>
    </w:pPr>
    <w:rPr>
      <w:rFonts w:ascii="Calibri" w:hAnsi="Calibri" w:cs="Calibri"/>
      <w:sz w:val="20"/>
      <w:szCs w:val="20"/>
    </w:rPr>
  </w:style>
  <w:style w:type="paragraph" w:styleId="Spistreci5">
    <w:name w:val="toc 5"/>
    <w:basedOn w:val="Normalny"/>
    <w:next w:val="Normalny"/>
    <w:autoRedefine/>
    <w:rsid w:val="00D33D3A"/>
    <w:pPr>
      <w:ind w:left="960"/>
    </w:pPr>
    <w:rPr>
      <w:rFonts w:ascii="Calibri" w:hAnsi="Calibri" w:cs="Calibri"/>
      <w:sz w:val="20"/>
      <w:szCs w:val="20"/>
    </w:rPr>
  </w:style>
  <w:style w:type="paragraph" w:styleId="Spistreci6">
    <w:name w:val="toc 6"/>
    <w:basedOn w:val="Normalny"/>
    <w:next w:val="Normalny"/>
    <w:autoRedefine/>
    <w:rsid w:val="00D33D3A"/>
    <w:pPr>
      <w:ind w:left="1200"/>
    </w:pPr>
    <w:rPr>
      <w:rFonts w:ascii="Calibri" w:hAnsi="Calibri" w:cs="Calibri"/>
      <w:sz w:val="20"/>
      <w:szCs w:val="20"/>
    </w:rPr>
  </w:style>
  <w:style w:type="paragraph" w:styleId="Spistreci7">
    <w:name w:val="toc 7"/>
    <w:basedOn w:val="Normalny"/>
    <w:next w:val="Normalny"/>
    <w:autoRedefine/>
    <w:rsid w:val="00D33D3A"/>
    <w:pPr>
      <w:ind w:left="1440"/>
    </w:pPr>
    <w:rPr>
      <w:rFonts w:ascii="Calibri" w:hAnsi="Calibri" w:cs="Calibri"/>
      <w:sz w:val="20"/>
      <w:szCs w:val="20"/>
    </w:rPr>
  </w:style>
  <w:style w:type="paragraph" w:styleId="Spistreci8">
    <w:name w:val="toc 8"/>
    <w:basedOn w:val="Normalny"/>
    <w:next w:val="Normalny"/>
    <w:autoRedefine/>
    <w:rsid w:val="00D33D3A"/>
    <w:pPr>
      <w:ind w:left="1680"/>
    </w:pPr>
    <w:rPr>
      <w:rFonts w:ascii="Calibri" w:hAnsi="Calibri" w:cs="Calibri"/>
      <w:sz w:val="20"/>
      <w:szCs w:val="20"/>
    </w:rPr>
  </w:style>
  <w:style w:type="paragraph" w:styleId="Spistreci9">
    <w:name w:val="toc 9"/>
    <w:basedOn w:val="Normalny"/>
    <w:next w:val="Normalny"/>
    <w:autoRedefine/>
    <w:rsid w:val="00D33D3A"/>
    <w:pPr>
      <w:ind w:left="1920"/>
    </w:pPr>
    <w:rPr>
      <w:rFonts w:ascii="Calibri" w:hAnsi="Calibri" w:cs="Calibri"/>
      <w:sz w:val="20"/>
      <w:szCs w:val="20"/>
    </w:rPr>
  </w:style>
  <w:style w:type="paragraph" w:customStyle="1" w:styleId="Sprawozdanieduy">
    <w:name w:val="Sprawozdanie duży"/>
    <w:basedOn w:val="MsrSection1"/>
    <w:uiPriority w:val="99"/>
    <w:rsid w:val="001E3D51"/>
    <w:pPr>
      <w:tabs>
        <w:tab w:val="clear" w:pos="360"/>
        <w:tab w:val="num" w:pos="786"/>
      </w:tabs>
      <w:ind w:left="786"/>
    </w:pPr>
    <w:rPr>
      <w:rFonts w:eastAsia="Calibri"/>
      <w:spacing w:val="50"/>
      <w:sz w:val="40"/>
      <w:szCs w:val="40"/>
    </w:rPr>
  </w:style>
  <w:style w:type="character" w:customStyle="1" w:styleId="StopkaZnak">
    <w:name w:val="Stopka Znak"/>
    <w:link w:val="Stopka"/>
    <w:uiPriority w:val="99"/>
    <w:rsid w:val="00C14A67"/>
    <w:rPr>
      <w:sz w:val="24"/>
      <w:szCs w:val="24"/>
    </w:rPr>
  </w:style>
  <w:style w:type="paragraph" w:customStyle="1" w:styleId="akapit">
    <w:name w:val="akapit"/>
    <w:basedOn w:val="Normalny"/>
    <w:rsid w:val="00A30132"/>
    <w:pPr>
      <w:spacing w:before="180" w:after="180" w:line="300" w:lineRule="atLeast"/>
    </w:pPr>
    <w:rPr>
      <w:rFonts w:ascii="Arial" w:hAnsi="Arial" w:cs="Arial"/>
      <w:color w:val="334E5C"/>
      <w:sz w:val="18"/>
      <w:szCs w:val="18"/>
    </w:rPr>
  </w:style>
  <w:style w:type="paragraph" w:customStyle="1" w:styleId="ZnakZnak10">
    <w:name w:val="Znak Znak10"/>
    <w:basedOn w:val="Normalny"/>
    <w:uiPriority w:val="99"/>
    <w:rsid w:val="00B16F58"/>
    <w:pPr>
      <w:spacing w:after="120" w:line="360" w:lineRule="auto"/>
      <w:jc w:val="both"/>
    </w:pPr>
    <w:rPr>
      <w:rFonts w:ascii="Verdana" w:hAnsi="Verdana"/>
      <w:sz w:val="20"/>
      <w:szCs w:val="20"/>
    </w:rPr>
  </w:style>
  <w:style w:type="paragraph" w:styleId="NormalnyWeb">
    <w:name w:val="Normal (Web)"/>
    <w:basedOn w:val="Normalny"/>
    <w:uiPriority w:val="99"/>
    <w:semiHidden/>
    <w:unhideWhenUsed/>
    <w:rsid w:val="002B27C6"/>
    <w:pPr>
      <w:spacing w:before="180" w:after="180"/>
    </w:pPr>
  </w:style>
  <w:style w:type="character" w:customStyle="1" w:styleId="akapit1">
    <w:name w:val="akapit1"/>
    <w:basedOn w:val="Domylnaczcionkaakapitu"/>
    <w:rsid w:val="002B27C6"/>
    <w:rPr>
      <w:rFonts w:ascii="Tahoma" w:hAnsi="Tahoma" w:cs="Tahoma" w:hint="default"/>
      <w:color w:val="334E5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9310">
      <w:bodyDiv w:val="1"/>
      <w:marLeft w:val="0"/>
      <w:marRight w:val="0"/>
      <w:marTop w:val="0"/>
      <w:marBottom w:val="0"/>
      <w:divBdr>
        <w:top w:val="none" w:sz="0" w:space="0" w:color="auto"/>
        <w:left w:val="none" w:sz="0" w:space="0" w:color="auto"/>
        <w:bottom w:val="none" w:sz="0" w:space="0" w:color="auto"/>
        <w:right w:val="none" w:sz="0" w:space="0" w:color="auto"/>
      </w:divBdr>
    </w:div>
    <w:div w:id="13503129">
      <w:bodyDiv w:val="1"/>
      <w:marLeft w:val="0"/>
      <w:marRight w:val="0"/>
      <w:marTop w:val="0"/>
      <w:marBottom w:val="0"/>
      <w:divBdr>
        <w:top w:val="none" w:sz="0" w:space="0" w:color="auto"/>
        <w:left w:val="none" w:sz="0" w:space="0" w:color="auto"/>
        <w:bottom w:val="none" w:sz="0" w:space="0" w:color="auto"/>
        <w:right w:val="none" w:sz="0" w:space="0" w:color="auto"/>
      </w:divBdr>
    </w:div>
    <w:div w:id="28842579">
      <w:bodyDiv w:val="1"/>
      <w:marLeft w:val="0"/>
      <w:marRight w:val="0"/>
      <w:marTop w:val="0"/>
      <w:marBottom w:val="0"/>
      <w:divBdr>
        <w:top w:val="none" w:sz="0" w:space="0" w:color="auto"/>
        <w:left w:val="none" w:sz="0" w:space="0" w:color="auto"/>
        <w:bottom w:val="none" w:sz="0" w:space="0" w:color="auto"/>
        <w:right w:val="none" w:sz="0" w:space="0" w:color="auto"/>
      </w:divBdr>
    </w:div>
    <w:div w:id="49620591">
      <w:bodyDiv w:val="1"/>
      <w:marLeft w:val="0"/>
      <w:marRight w:val="0"/>
      <w:marTop w:val="0"/>
      <w:marBottom w:val="0"/>
      <w:divBdr>
        <w:top w:val="none" w:sz="0" w:space="0" w:color="auto"/>
        <w:left w:val="none" w:sz="0" w:space="0" w:color="auto"/>
        <w:bottom w:val="none" w:sz="0" w:space="0" w:color="auto"/>
        <w:right w:val="none" w:sz="0" w:space="0" w:color="auto"/>
      </w:divBdr>
    </w:div>
    <w:div w:id="64230998">
      <w:bodyDiv w:val="1"/>
      <w:marLeft w:val="0"/>
      <w:marRight w:val="0"/>
      <w:marTop w:val="0"/>
      <w:marBottom w:val="0"/>
      <w:divBdr>
        <w:top w:val="none" w:sz="0" w:space="0" w:color="auto"/>
        <w:left w:val="none" w:sz="0" w:space="0" w:color="auto"/>
        <w:bottom w:val="none" w:sz="0" w:space="0" w:color="auto"/>
        <w:right w:val="none" w:sz="0" w:space="0" w:color="auto"/>
      </w:divBdr>
    </w:div>
    <w:div w:id="76445641">
      <w:bodyDiv w:val="1"/>
      <w:marLeft w:val="0"/>
      <w:marRight w:val="0"/>
      <w:marTop w:val="0"/>
      <w:marBottom w:val="0"/>
      <w:divBdr>
        <w:top w:val="none" w:sz="0" w:space="0" w:color="auto"/>
        <w:left w:val="none" w:sz="0" w:space="0" w:color="auto"/>
        <w:bottom w:val="none" w:sz="0" w:space="0" w:color="auto"/>
        <w:right w:val="none" w:sz="0" w:space="0" w:color="auto"/>
      </w:divBdr>
    </w:div>
    <w:div w:id="77337480">
      <w:bodyDiv w:val="1"/>
      <w:marLeft w:val="0"/>
      <w:marRight w:val="0"/>
      <w:marTop w:val="0"/>
      <w:marBottom w:val="0"/>
      <w:divBdr>
        <w:top w:val="none" w:sz="0" w:space="0" w:color="auto"/>
        <w:left w:val="none" w:sz="0" w:space="0" w:color="auto"/>
        <w:bottom w:val="none" w:sz="0" w:space="0" w:color="auto"/>
        <w:right w:val="none" w:sz="0" w:space="0" w:color="auto"/>
      </w:divBdr>
    </w:div>
    <w:div w:id="77798443">
      <w:bodyDiv w:val="1"/>
      <w:marLeft w:val="0"/>
      <w:marRight w:val="0"/>
      <w:marTop w:val="0"/>
      <w:marBottom w:val="0"/>
      <w:divBdr>
        <w:top w:val="none" w:sz="0" w:space="0" w:color="auto"/>
        <w:left w:val="none" w:sz="0" w:space="0" w:color="auto"/>
        <w:bottom w:val="none" w:sz="0" w:space="0" w:color="auto"/>
        <w:right w:val="none" w:sz="0" w:space="0" w:color="auto"/>
      </w:divBdr>
    </w:div>
    <w:div w:id="91248046">
      <w:bodyDiv w:val="1"/>
      <w:marLeft w:val="0"/>
      <w:marRight w:val="0"/>
      <w:marTop w:val="0"/>
      <w:marBottom w:val="0"/>
      <w:divBdr>
        <w:top w:val="none" w:sz="0" w:space="0" w:color="auto"/>
        <w:left w:val="none" w:sz="0" w:space="0" w:color="auto"/>
        <w:bottom w:val="none" w:sz="0" w:space="0" w:color="auto"/>
        <w:right w:val="none" w:sz="0" w:space="0" w:color="auto"/>
      </w:divBdr>
    </w:div>
    <w:div w:id="107899926">
      <w:bodyDiv w:val="1"/>
      <w:marLeft w:val="0"/>
      <w:marRight w:val="0"/>
      <w:marTop w:val="0"/>
      <w:marBottom w:val="0"/>
      <w:divBdr>
        <w:top w:val="none" w:sz="0" w:space="0" w:color="auto"/>
        <w:left w:val="none" w:sz="0" w:space="0" w:color="auto"/>
        <w:bottom w:val="none" w:sz="0" w:space="0" w:color="auto"/>
        <w:right w:val="none" w:sz="0" w:space="0" w:color="auto"/>
      </w:divBdr>
    </w:div>
    <w:div w:id="129131955">
      <w:bodyDiv w:val="1"/>
      <w:marLeft w:val="0"/>
      <w:marRight w:val="0"/>
      <w:marTop w:val="0"/>
      <w:marBottom w:val="0"/>
      <w:divBdr>
        <w:top w:val="none" w:sz="0" w:space="0" w:color="auto"/>
        <w:left w:val="none" w:sz="0" w:space="0" w:color="auto"/>
        <w:bottom w:val="none" w:sz="0" w:space="0" w:color="auto"/>
        <w:right w:val="none" w:sz="0" w:space="0" w:color="auto"/>
      </w:divBdr>
    </w:div>
    <w:div w:id="154954018">
      <w:bodyDiv w:val="1"/>
      <w:marLeft w:val="0"/>
      <w:marRight w:val="0"/>
      <w:marTop w:val="0"/>
      <w:marBottom w:val="0"/>
      <w:divBdr>
        <w:top w:val="none" w:sz="0" w:space="0" w:color="auto"/>
        <w:left w:val="none" w:sz="0" w:space="0" w:color="auto"/>
        <w:bottom w:val="none" w:sz="0" w:space="0" w:color="auto"/>
        <w:right w:val="none" w:sz="0" w:space="0" w:color="auto"/>
      </w:divBdr>
    </w:div>
    <w:div w:id="179466514">
      <w:bodyDiv w:val="1"/>
      <w:marLeft w:val="0"/>
      <w:marRight w:val="0"/>
      <w:marTop w:val="0"/>
      <w:marBottom w:val="0"/>
      <w:divBdr>
        <w:top w:val="none" w:sz="0" w:space="0" w:color="auto"/>
        <w:left w:val="none" w:sz="0" w:space="0" w:color="auto"/>
        <w:bottom w:val="none" w:sz="0" w:space="0" w:color="auto"/>
        <w:right w:val="none" w:sz="0" w:space="0" w:color="auto"/>
      </w:divBdr>
    </w:div>
    <w:div w:id="212932025">
      <w:bodyDiv w:val="1"/>
      <w:marLeft w:val="0"/>
      <w:marRight w:val="0"/>
      <w:marTop w:val="0"/>
      <w:marBottom w:val="0"/>
      <w:divBdr>
        <w:top w:val="none" w:sz="0" w:space="0" w:color="auto"/>
        <w:left w:val="none" w:sz="0" w:space="0" w:color="auto"/>
        <w:bottom w:val="none" w:sz="0" w:space="0" w:color="auto"/>
        <w:right w:val="none" w:sz="0" w:space="0" w:color="auto"/>
      </w:divBdr>
    </w:div>
    <w:div w:id="269095112">
      <w:bodyDiv w:val="1"/>
      <w:marLeft w:val="0"/>
      <w:marRight w:val="0"/>
      <w:marTop w:val="0"/>
      <w:marBottom w:val="0"/>
      <w:divBdr>
        <w:top w:val="none" w:sz="0" w:space="0" w:color="auto"/>
        <w:left w:val="none" w:sz="0" w:space="0" w:color="auto"/>
        <w:bottom w:val="none" w:sz="0" w:space="0" w:color="auto"/>
        <w:right w:val="none" w:sz="0" w:space="0" w:color="auto"/>
      </w:divBdr>
    </w:div>
    <w:div w:id="330331176">
      <w:bodyDiv w:val="1"/>
      <w:marLeft w:val="0"/>
      <w:marRight w:val="0"/>
      <w:marTop w:val="0"/>
      <w:marBottom w:val="0"/>
      <w:divBdr>
        <w:top w:val="none" w:sz="0" w:space="0" w:color="auto"/>
        <w:left w:val="none" w:sz="0" w:space="0" w:color="auto"/>
        <w:bottom w:val="none" w:sz="0" w:space="0" w:color="auto"/>
        <w:right w:val="none" w:sz="0" w:space="0" w:color="auto"/>
      </w:divBdr>
    </w:div>
    <w:div w:id="339432267">
      <w:bodyDiv w:val="1"/>
      <w:marLeft w:val="0"/>
      <w:marRight w:val="0"/>
      <w:marTop w:val="0"/>
      <w:marBottom w:val="0"/>
      <w:divBdr>
        <w:top w:val="none" w:sz="0" w:space="0" w:color="auto"/>
        <w:left w:val="none" w:sz="0" w:space="0" w:color="auto"/>
        <w:bottom w:val="none" w:sz="0" w:space="0" w:color="auto"/>
        <w:right w:val="none" w:sz="0" w:space="0" w:color="auto"/>
      </w:divBdr>
    </w:div>
    <w:div w:id="378281982">
      <w:bodyDiv w:val="1"/>
      <w:marLeft w:val="0"/>
      <w:marRight w:val="0"/>
      <w:marTop w:val="0"/>
      <w:marBottom w:val="0"/>
      <w:divBdr>
        <w:top w:val="none" w:sz="0" w:space="0" w:color="auto"/>
        <w:left w:val="none" w:sz="0" w:space="0" w:color="auto"/>
        <w:bottom w:val="none" w:sz="0" w:space="0" w:color="auto"/>
        <w:right w:val="none" w:sz="0" w:space="0" w:color="auto"/>
      </w:divBdr>
    </w:div>
    <w:div w:id="385759150">
      <w:bodyDiv w:val="1"/>
      <w:marLeft w:val="0"/>
      <w:marRight w:val="0"/>
      <w:marTop w:val="0"/>
      <w:marBottom w:val="0"/>
      <w:divBdr>
        <w:top w:val="none" w:sz="0" w:space="0" w:color="auto"/>
        <w:left w:val="none" w:sz="0" w:space="0" w:color="auto"/>
        <w:bottom w:val="none" w:sz="0" w:space="0" w:color="auto"/>
        <w:right w:val="none" w:sz="0" w:space="0" w:color="auto"/>
      </w:divBdr>
    </w:div>
    <w:div w:id="415054532">
      <w:bodyDiv w:val="1"/>
      <w:marLeft w:val="0"/>
      <w:marRight w:val="0"/>
      <w:marTop w:val="0"/>
      <w:marBottom w:val="0"/>
      <w:divBdr>
        <w:top w:val="none" w:sz="0" w:space="0" w:color="auto"/>
        <w:left w:val="none" w:sz="0" w:space="0" w:color="auto"/>
        <w:bottom w:val="none" w:sz="0" w:space="0" w:color="auto"/>
        <w:right w:val="none" w:sz="0" w:space="0" w:color="auto"/>
      </w:divBdr>
    </w:div>
    <w:div w:id="472333172">
      <w:bodyDiv w:val="1"/>
      <w:marLeft w:val="0"/>
      <w:marRight w:val="0"/>
      <w:marTop w:val="0"/>
      <w:marBottom w:val="0"/>
      <w:divBdr>
        <w:top w:val="none" w:sz="0" w:space="0" w:color="auto"/>
        <w:left w:val="none" w:sz="0" w:space="0" w:color="auto"/>
        <w:bottom w:val="none" w:sz="0" w:space="0" w:color="auto"/>
        <w:right w:val="none" w:sz="0" w:space="0" w:color="auto"/>
      </w:divBdr>
    </w:div>
    <w:div w:id="473177532">
      <w:bodyDiv w:val="1"/>
      <w:marLeft w:val="0"/>
      <w:marRight w:val="0"/>
      <w:marTop w:val="0"/>
      <w:marBottom w:val="0"/>
      <w:divBdr>
        <w:top w:val="none" w:sz="0" w:space="0" w:color="auto"/>
        <w:left w:val="none" w:sz="0" w:space="0" w:color="auto"/>
        <w:bottom w:val="none" w:sz="0" w:space="0" w:color="auto"/>
        <w:right w:val="none" w:sz="0" w:space="0" w:color="auto"/>
      </w:divBdr>
    </w:div>
    <w:div w:id="494807561">
      <w:bodyDiv w:val="1"/>
      <w:marLeft w:val="0"/>
      <w:marRight w:val="0"/>
      <w:marTop w:val="0"/>
      <w:marBottom w:val="0"/>
      <w:divBdr>
        <w:top w:val="none" w:sz="0" w:space="0" w:color="auto"/>
        <w:left w:val="none" w:sz="0" w:space="0" w:color="auto"/>
        <w:bottom w:val="none" w:sz="0" w:space="0" w:color="auto"/>
        <w:right w:val="none" w:sz="0" w:space="0" w:color="auto"/>
      </w:divBdr>
    </w:div>
    <w:div w:id="524638759">
      <w:bodyDiv w:val="1"/>
      <w:marLeft w:val="0"/>
      <w:marRight w:val="0"/>
      <w:marTop w:val="0"/>
      <w:marBottom w:val="0"/>
      <w:divBdr>
        <w:top w:val="none" w:sz="0" w:space="0" w:color="auto"/>
        <w:left w:val="none" w:sz="0" w:space="0" w:color="auto"/>
        <w:bottom w:val="none" w:sz="0" w:space="0" w:color="auto"/>
        <w:right w:val="none" w:sz="0" w:space="0" w:color="auto"/>
      </w:divBdr>
    </w:div>
    <w:div w:id="537622161">
      <w:bodyDiv w:val="1"/>
      <w:marLeft w:val="0"/>
      <w:marRight w:val="0"/>
      <w:marTop w:val="0"/>
      <w:marBottom w:val="0"/>
      <w:divBdr>
        <w:top w:val="none" w:sz="0" w:space="0" w:color="auto"/>
        <w:left w:val="none" w:sz="0" w:space="0" w:color="auto"/>
        <w:bottom w:val="none" w:sz="0" w:space="0" w:color="auto"/>
        <w:right w:val="none" w:sz="0" w:space="0" w:color="auto"/>
      </w:divBdr>
    </w:div>
    <w:div w:id="615333693">
      <w:bodyDiv w:val="1"/>
      <w:marLeft w:val="0"/>
      <w:marRight w:val="0"/>
      <w:marTop w:val="0"/>
      <w:marBottom w:val="0"/>
      <w:divBdr>
        <w:top w:val="none" w:sz="0" w:space="0" w:color="auto"/>
        <w:left w:val="none" w:sz="0" w:space="0" w:color="auto"/>
        <w:bottom w:val="none" w:sz="0" w:space="0" w:color="auto"/>
        <w:right w:val="none" w:sz="0" w:space="0" w:color="auto"/>
      </w:divBdr>
    </w:div>
    <w:div w:id="656999150">
      <w:bodyDiv w:val="1"/>
      <w:marLeft w:val="0"/>
      <w:marRight w:val="0"/>
      <w:marTop w:val="0"/>
      <w:marBottom w:val="0"/>
      <w:divBdr>
        <w:top w:val="none" w:sz="0" w:space="0" w:color="auto"/>
        <w:left w:val="none" w:sz="0" w:space="0" w:color="auto"/>
        <w:bottom w:val="none" w:sz="0" w:space="0" w:color="auto"/>
        <w:right w:val="none" w:sz="0" w:space="0" w:color="auto"/>
      </w:divBdr>
    </w:div>
    <w:div w:id="715737325">
      <w:bodyDiv w:val="1"/>
      <w:marLeft w:val="0"/>
      <w:marRight w:val="0"/>
      <w:marTop w:val="0"/>
      <w:marBottom w:val="0"/>
      <w:divBdr>
        <w:top w:val="none" w:sz="0" w:space="0" w:color="auto"/>
        <w:left w:val="none" w:sz="0" w:space="0" w:color="auto"/>
        <w:bottom w:val="none" w:sz="0" w:space="0" w:color="auto"/>
        <w:right w:val="none" w:sz="0" w:space="0" w:color="auto"/>
      </w:divBdr>
    </w:div>
    <w:div w:id="772474875">
      <w:bodyDiv w:val="1"/>
      <w:marLeft w:val="0"/>
      <w:marRight w:val="0"/>
      <w:marTop w:val="0"/>
      <w:marBottom w:val="0"/>
      <w:divBdr>
        <w:top w:val="none" w:sz="0" w:space="0" w:color="auto"/>
        <w:left w:val="none" w:sz="0" w:space="0" w:color="auto"/>
        <w:bottom w:val="none" w:sz="0" w:space="0" w:color="auto"/>
        <w:right w:val="none" w:sz="0" w:space="0" w:color="auto"/>
      </w:divBdr>
    </w:div>
    <w:div w:id="777868626">
      <w:bodyDiv w:val="1"/>
      <w:marLeft w:val="0"/>
      <w:marRight w:val="0"/>
      <w:marTop w:val="0"/>
      <w:marBottom w:val="0"/>
      <w:divBdr>
        <w:top w:val="none" w:sz="0" w:space="0" w:color="auto"/>
        <w:left w:val="none" w:sz="0" w:space="0" w:color="auto"/>
        <w:bottom w:val="none" w:sz="0" w:space="0" w:color="auto"/>
        <w:right w:val="none" w:sz="0" w:space="0" w:color="auto"/>
      </w:divBdr>
    </w:div>
    <w:div w:id="791365177">
      <w:bodyDiv w:val="1"/>
      <w:marLeft w:val="0"/>
      <w:marRight w:val="0"/>
      <w:marTop w:val="0"/>
      <w:marBottom w:val="0"/>
      <w:divBdr>
        <w:top w:val="none" w:sz="0" w:space="0" w:color="auto"/>
        <w:left w:val="none" w:sz="0" w:space="0" w:color="auto"/>
        <w:bottom w:val="none" w:sz="0" w:space="0" w:color="auto"/>
        <w:right w:val="none" w:sz="0" w:space="0" w:color="auto"/>
      </w:divBdr>
    </w:div>
    <w:div w:id="821044864">
      <w:bodyDiv w:val="1"/>
      <w:marLeft w:val="0"/>
      <w:marRight w:val="0"/>
      <w:marTop w:val="0"/>
      <w:marBottom w:val="0"/>
      <w:divBdr>
        <w:top w:val="none" w:sz="0" w:space="0" w:color="auto"/>
        <w:left w:val="none" w:sz="0" w:space="0" w:color="auto"/>
        <w:bottom w:val="none" w:sz="0" w:space="0" w:color="auto"/>
        <w:right w:val="none" w:sz="0" w:space="0" w:color="auto"/>
      </w:divBdr>
    </w:div>
    <w:div w:id="835534307">
      <w:bodyDiv w:val="1"/>
      <w:marLeft w:val="0"/>
      <w:marRight w:val="0"/>
      <w:marTop w:val="0"/>
      <w:marBottom w:val="0"/>
      <w:divBdr>
        <w:top w:val="none" w:sz="0" w:space="0" w:color="auto"/>
        <w:left w:val="none" w:sz="0" w:space="0" w:color="auto"/>
        <w:bottom w:val="none" w:sz="0" w:space="0" w:color="auto"/>
        <w:right w:val="none" w:sz="0" w:space="0" w:color="auto"/>
      </w:divBdr>
    </w:div>
    <w:div w:id="844172123">
      <w:bodyDiv w:val="1"/>
      <w:marLeft w:val="0"/>
      <w:marRight w:val="0"/>
      <w:marTop w:val="0"/>
      <w:marBottom w:val="0"/>
      <w:divBdr>
        <w:top w:val="none" w:sz="0" w:space="0" w:color="auto"/>
        <w:left w:val="none" w:sz="0" w:space="0" w:color="auto"/>
        <w:bottom w:val="none" w:sz="0" w:space="0" w:color="auto"/>
        <w:right w:val="none" w:sz="0" w:space="0" w:color="auto"/>
      </w:divBdr>
    </w:div>
    <w:div w:id="846674619">
      <w:bodyDiv w:val="1"/>
      <w:marLeft w:val="0"/>
      <w:marRight w:val="0"/>
      <w:marTop w:val="0"/>
      <w:marBottom w:val="0"/>
      <w:divBdr>
        <w:top w:val="none" w:sz="0" w:space="0" w:color="auto"/>
        <w:left w:val="none" w:sz="0" w:space="0" w:color="auto"/>
        <w:bottom w:val="none" w:sz="0" w:space="0" w:color="auto"/>
        <w:right w:val="none" w:sz="0" w:space="0" w:color="auto"/>
      </w:divBdr>
    </w:div>
    <w:div w:id="993869835">
      <w:bodyDiv w:val="1"/>
      <w:marLeft w:val="0"/>
      <w:marRight w:val="0"/>
      <w:marTop w:val="0"/>
      <w:marBottom w:val="0"/>
      <w:divBdr>
        <w:top w:val="none" w:sz="0" w:space="0" w:color="auto"/>
        <w:left w:val="none" w:sz="0" w:space="0" w:color="auto"/>
        <w:bottom w:val="none" w:sz="0" w:space="0" w:color="auto"/>
        <w:right w:val="none" w:sz="0" w:space="0" w:color="auto"/>
      </w:divBdr>
    </w:div>
    <w:div w:id="1007244713">
      <w:bodyDiv w:val="1"/>
      <w:marLeft w:val="0"/>
      <w:marRight w:val="0"/>
      <w:marTop w:val="0"/>
      <w:marBottom w:val="0"/>
      <w:divBdr>
        <w:top w:val="none" w:sz="0" w:space="0" w:color="auto"/>
        <w:left w:val="none" w:sz="0" w:space="0" w:color="auto"/>
        <w:bottom w:val="none" w:sz="0" w:space="0" w:color="auto"/>
        <w:right w:val="none" w:sz="0" w:space="0" w:color="auto"/>
      </w:divBdr>
    </w:div>
    <w:div w:id="1007440129">
      <w:bodyDiv w:val="1"/>
      <w:marLeft w:val="0"/>
      <w:marRight w:val="0"/>
      <w:marTop w:val="0"/>
      <w:marBottom w:val="0"/>
      <w:divBdr>
        <w:top w:val="none" w:sz="0" w:space="0" w:color="auto"/>
        <w:left w:val="none" w:sz="0" w:space="0" w:color="auto"/>
        <w:bottom w:val="none" w:sz="0" w:space="0" w:color="auto"/>
        <w:right w:val="none" w:sz="0" w:space="0" w:color="auto"/>
      </w:divBdr>
    </w:div>
    <w:div w:id="1021013902">
      <w:bodyDiv w:val="1"/>
      <w:marLeft w:val="0"/>
      <w:marRight w:val="0"/>
      <w:marTop w:val="0"/>
      <w:marBottom w:val="0"/>
      <w:divBdr>
        <w:top w:val="none" w:sz="0" w:space="0" w:color="auto"/>
        <w:left w:val="none" w:sz="0" w:space="0" w:color="auto"/>
        <w:bottom w:val="none" w:sz="0" w:space="0" w:color="auto"/>
        <w:right w:val="none" w:sz="0" w:space="0" w:color="auto"/>
      </w:divBdr>
    </w:div>
    <w:div w:id="1029068254">
      <w:bodyDiv w:val="1"/>
      <w:marLeft w:val="0"/>
      <w:marRight w:val="0"/>
      <w:marTop w:val="0"/>
      <w:marBottom w:val="0"/>
      <w:divBdr>
        <w:top w:val="none" w:sz="0" w:space="0" w:color="auto"/>
        <w:left w:val="none" w:sz="0" w:space="0" w:color="auto"/>
        <w:bottom w:val="none" w:sz="0" w:space="0" w:color="auto"/>
        <w:right w:val="none" w:sz="0" w:space="0" w:color="auto"/>
      </w:divBdr>
    </w:div>
    <w:div w:id="1037924512">
      <w:bodyDiv w:val="1"/>
      <w:marLeft w:val="0"/>
      <w:marRight w:val="0"/>
      <w:marTop w:val="0"/>
      <w:marBottom w:val="0"/>
      <w:divBdr>
        <w:top w:val="none" w:sz="0" w:space="0" w:color="auto"/>
        <w:left w:val="none" w:sz="0" w:space="0" w:color="auto"/>
        <w:bottom w:val="none" w:sz="0" w:space="0" w:color="auto"/>
        <w:right w:val="none" w:sz="0" w:space="0" w:color="auto"/>
      </w:divBdr>
    </w:div>
    <w:div w:id="1049106477">
      <w:bodyDiv w:val="1"/>
      <w:marLeft w:val="0"/>
      <w:marRight w:val="0"/>
      <w:marTop w:val="0"/>
      <w:marBottom w:val="0"/>
      <w:divBdr>
        <w:top w:val="none" w:sz="0" w:space="0" w:color="auto"/>
        <w:left w:val="none" w:sz="0" w:space="0" w:color="auto"/>
        <w:bottom w:val="none" w:sz="0" w:space="0" w:color="auto"/>
        <w:right w:val="none" w:sz="0" w:space="0" w:color="auto"/>
      </w:divBdr>
    </w:div>
    <w:div w:id="1054504185">
      <w:bodyDiv w:val="1"/>
      <w:marLeft w:val="0"/>
      <w:marRight w:val="0"/>
      <w:marTop w:val="0"/>
      <w:marBottom w:val="0"/>
      <w:divBdr>
        <w:top w:val="none" w:sz="0" w:space="0" w:color="auto"/>
        <w:left w:val="none" w:sz="0" w:space="0" w:color="auto"/>
        <w:bottom w:val="none" w:sz="0" w:space="0" w:color="auto"/>
        <w:right w:val="none" w:sz="0" w:space="0" w:color="auto"/>
      </w:divBdr>
    </w:div>
    <w:div w:id="1066878903">
      <w:bodyDiv w:val="1"/>
      <w:marLeft w:val="0"/>
      <w:marRight w:val="0"/>
      <w:marTop w:val="0"/>
      <w:marBottom w:val="0"/>
      <w:divBdr>
        <w:top w:val="none" w:sz="0" w:space="0" w:color="auto"/>
        <w:left w:val="none" w:sz="0" w:space="0" w:color="auto"/>
        <w:bottom w:val="none" w:sz="0" w:space="0" w:color="auto"/>
        <w:right w:val="none" w:sz="0" w:space="0" w:color="auto"/>
      </w:divBdr>
    </w:div>
    <w:div w:id="1095858321">
      <w:bodyDiv w:val="1"/>
      <w:marLeft w:val="0"/>
      <w:marRight w:val="0"/>
      <w:marTop w:val="0"/>
      <w:marBottom w:val="0"/>
      <w:divBdr>
        <w:top w:val="none" w:sz="0" w:space="0" w:color="auto"/>
        <w:left w:val="none" w:sz="0" w:space="0" w:color="auto"/>
        <w:bottom w:val="none" w:sz="0" w:space="0" w:color="auto"/>
        <w:right w:val="none" w:sz="0" w:space="0" w:color="auto"/>
      </w:divBdr>
    </w:div>
    <w:div w:id="1119565256">
      <w:bodyDiv w:val="1"/>
      <w:marLeft w:val="0"/>
      <w:marRight w:val="0"/>
      <w:marTop w:val="0"/>
      <w:marBottom w:val="0"/>
      <w:divBdr>
        <w:top w:val="none" w:sz="0" w:space="0" w:color="auto"/>
        <w:left w:val="none" w:sz="0" w:space="0" w:color="auto"/>
        <w:bottom w:val="none" w:sz="0" w:space="0" w:color="auto"/>
        <w:right w:val="none" w:sz="0" w:space="0" w:color="auto"/>
      </w:divBdr>
    </w:div>
    <w:div w:id="1127550830">
      <w:bodyDiv w:val="1"/>
      <w:marLeft w:val="0"/>
      <w:marRight w:val="0"/>
      <w:marTop w:val="0"/>
      <w:marBottom w:val="0"/>
      <w:divBdr>
        <w:top w:val="none" w:sz="0" w:space="0" w:color="auto"/>
        <w:left w:val="none" w:sz="0" w:space="0" w:color="auto"/>
        <w:bottom w:val="none" w:sz="0" w:space="0" w:color="auto"/>
        <w:right w:val="none" w:sz="0" w:space="0" w:color="auto"/>
      </w:divBdr>
    </w:div>
    <w:div w:id="1142501029">
      <w:bodyDiv w:val="1"/>
      <w:marLeft w:val="0"/>
      <w:marRight w:val="0"/>
      <w:marTop w:val="0"/>
      <w:marBottom w:val="0"/>
      <w:divBdr>
        <w:top w:val="none" w:sz="0" w:space="0" w:color="auto"/>
        <w:left w:val="none" w:sz="0" w:space="0" w:color="auto"/>
        <w:bottom w:val="none" w:sz="0" w:space="0" w:color="auto"/>
        <w:right w:val="none" w:sz="0" w:space="0" w:color="auto"/>
      </w:divBdr>
    </w:div>
    <w:div w:id="1142575400">
      <w:bodyDiv w:val="1"/>
      <w:marLeft w:val="0"/>
      <w:marRight w:val="0"/>
      <w:marTop w:val="0"/>
      <w:marBottom w:val="0"/>
      <w:divBdr>
        <w:top w:val="none" w:sz="0" w:space="0" w:color="auto"/>
        <w:left w:val="none" w:sz="0" w:space="0" w:color="auto"/>
        <w:bottom w:val="none" w:sz="0" w:space="0" w:color="auto"/>
        <w:right w:val="none" w:sz="0" w:space="0" w:color="auto"/>
      </w:divBdr>
    </w:div>
    <w:div w:id="1151403781">
      <w:bodyDiv w:val="1"/>
      <w:marLeft w:val="0"/>
      <w:marRight w:val="0"/>
      <w:marTop w:val="0"/>
      <w:marBottom w:val="0"/>
      <w:divBdr>
        <w:top w:val="none" w:sz="0" w:space="0" w:color="auto"/>
        <w:left w:val="none" w:sz="0" w:space="0" w:color="auto"/>
        <w:bottom w:val="none" w:sz="0" w:space="0" w:color="auto"/>
        <w:right w:val="none" w:sz="0" w:space="0" w:color="auto"/>
      </w:divBdr>
    </w:div>
    <w:div w:id="1161963672">
      <w:bodyDiv w:val="1"/>
      <w:marLeft w:val="0"/>
      <w:marRight w:val="0"/>
      <w:marTop w:val="0"/>
      <w:marBottom w:val="0"/>
      <w:divBdr>
        <w:top w:val="none" w:sz="0" w:space="0" w:color="auto"/>
        <w:left w:val="none" w:sz="0" w:space="0" w:color="auto"/>
        <w:bottom w:val="none" w:sz="0" w:space="0" w:color="auto"/>
        <w:right w:val="none" w:sz="0" w:space="0" w:color="auto"/>
      </w:divBdr>
    </w:div>
    <w:div w:id="1170488453">
      <w:bodyDiv w:val="1"/>
      <w:marLeft w:val="0"/>
      <w:marRight w:val="0"/>
      <w:marTop w:val="0"/>
      <w:marBottom w:val="0"/>
      <w:divBdr>
        <w:top w:val="none" w:sz="0" w:space="0" w:color="auto"/>
        <w:left w:val="none" w:sz="0" w:space="0" w:color="auto"/>
        <w:bottom w:val="none" w:sz="0" w:space="0" w:color="auto"/>
        <w:right w:val="none" w:sz="0" w:space="0" w:color="auto"/>
      </w:divBdr>
    </w:div>
    <w:div w:id="1171869411">
      <w:bodyDiv w:val="1"/>
      <w:marLeft w:val="0"/>
      <w:marRight w:val="0"/>
      <w:marTop w:val="0"/>
      <w:marBottom w:val="0"/>
      <w:divBdr>
        <w:top w:val="none" w:sz="0" w:space="0" w:color="auto"/>
        <w:left w:val="none" w:sz="0" w:space="0" w:color="auto"/>
        <w:bottom w:val="none" w:sz="0" w:space="0" w:color="auto"/>
        <w:right w:val="none" w:sz="0" w:space="0" w:color="auto"/>
      </w:divBdr>
    </w:div>
    <w:div w:id="1235358926">
      <w:bodyDiv w:val="1"/>
      <w:marLeft w:val="0"/>
      <w:marRight w:val="0"/>
      <w:marTop w:val="0"/>
      <w:marBottom w:val="0"/>
      <w:divBdr>
        <w:top w:val="none" w:sz="0" w:space="0" w:color="auto"/>
        <w:left w:val="none" w:sz="0" w:space="0" w:color="auto"/>
        <w:bottom w:val="none" w:sz="0" w:space="0" w:color="auto"/>
        <w:right w:val="none" w:sz="0" w:space="0" w:color="auto"/>
      </w:divBdr>
    </w:div>
    <w:div w:id="1247110801">
      <w:bodyDiv w:val="1"/>
      <w:marLeft w:val="0"/>
      <w:marRight w:val="0"/>
      <w:marTop w:val="0"/>
      <w:marBottom w:val="0"/>
      <w:divBdr>
        <w:top w:val="none" w:sz="0" w:space="0" w:color="auto"/>
        <w:left w:val="none" w:sz="0" w:space="0" w:color="auto"/>
        <w:bottom w:val="none" w:sz="0" w:space="0" w:color="auto"/>
        <w:right w:val="none" w:sz="0" w:space="0" w:color="auto"/>
      </w:divBdr>
    </w:div>
    <w:div w:id="1252424654">
      <w:bodyDiv w:val="1"/>
      <w:marLeft w:val="0"/>
      <w:marRight w:val="0"/>
      <w:marTop w:val="0"/>
      <w:marBottom w:val="0"/>
      <w:divBdr>
        <w:top w:val="none" w:sz="0" w:space="0" w:color="auto"/>
        <w:left w:val="none" w:sz="0" w:space="0" w:color="auto"/>
        <w:bottom w:val="none" w:sz="0" w:space="0" w:color="auto"/>
        <w:right w:val="none" w:sz="0" w:space="0" w:color="auto"/>
      </w:divBdr>
    </w:div>
    <w:div w:id="1262688382">
      <w:bodyDiv w:val="1"/>
      <w:marLeft w:val="0"/>
      <w:marRight w:val="0"/>
      <w:marTop w:val="0"/>
      <w:marBottom w:val="0"/>
      <w:divBdr>
        <w:top w:val="none" w:sz="0" w:space="0" w:color="auto"/>
        <w:left w:val="none" w:sz="0" w:space="0" w:color="auto"/>
        <w:bottom w:val="none" w:sz="0" w:space="0" w:color="auto"/>
        <w:right w:val="none" w:sz="0" w:space="0" w:color="auto"/>
      </w:divBdr>
    </w:div>
    <w:div w:id="1277981632">
      <w:bodyDiv w:val="1"/>
      <w:marLeft w:val="0"/>
      <w:marRight w:val="0"/>
      <w:marTop w:val="0"/>
      <w:marBottom w:val="0"/>
      <w:divBdr>
        <w:top w:val="none" w:sz="0" w:space="0" w:color="auto"/>
        <w:left w:val="none" w:sz="0" w:space="0" w:color="auto"/>
        <w:bottom w:val="none" w:sz="0" w:space="0" w:color="auto"/>
        <w:right w:val="none" w:sz="0" w:space="0" w:color="auto"/>
      </w:divBdr>
    </w:div>
    <w:div w:id="1345473326">
      <w:bodyDiv w:val="1"/>
      <w:marLeft w:val="0"/>
      <w:marRight w:val="0"/>
      <w:marTop w:val="0"/>
      <w:marBottom w:val="0"/>
      <w:divBdr>
        <w:top w:val="none" w:sz="0" w:space="0" w:color="auto"/>
        <w:left w:val="none" w:sz="0" w:space="0" w:color="auto"/>
        <w:bottom w:val="none" w:sz="0" w:space="0" w:color="auto"/>
        <w:right w:val="none" w:sz="0" w:space="0" w:color="auto"/>
      </w:divBdr>
    </w:div>
    <w:div w:id="1353188890">
      <w:bodyDiv w:val="1"/>
      <w:marLeft w:val="0"/>
      <w:marRight w:val="0"/>
      <w:marTop w:val="0"/>
      <w:marBottom w:val="0"/>
      <w:divBdr>
        <w:top w:val="none" w:sz="0" w:space="0" w:color="auto"/>
        <w:left w:val="none" w:sz="0" w:space="0" w:color="auto"/>
        <w:bottom w:val="none" w:sz="0" w:space="0" w:color="auto"/>
        <w:right w:val="none" w:sz="0" w:space="0" w:color="auto"/>
      </w:divBdr>
    </w:div>
    <w:div w:id="1384986960">
      <w:bodyDiv w:val="1"/>
      <w:marLeft w:val="0"/>
      <w:marRight w:val="0"/>
      <w:marTop w:val="0"/>
      <w:marBottom w:val="0"/>
      <w:divBdr>
        <w:top w:val="none" w:sz="0" w:space="0" w:color="auto"/>
        <w:left w:val="none" w:sz="0" w:space="0" w:color="auto"/>
        <w:bottom w:val="none" w:sz="0" w:space="0" w:color="auto"/>
        <w:right w:val="none" w:sz="0" w:space="0" w:color="auto"/>
      </w:divBdr>
    </w:div>
    <w:div w:id="1405251565">
      <w:bodyDiv w:val="1"/>
      <w:marLeft w:val="0"/>
      <w:marRight w:val="0"/>
      <w:marTop w:val="0"/>
      <w:marBottom w:val="0"/>
      <w:divBdr>
        <w:top w:val="none" w:sz="0" w:space="0" w:color="auto"/>
        <w:left w:val="none" w:sz="0" w:space="0" w:color="auto"/>
        <w:bottom w:val="none" w:sz="0" w:space="0" w:color="auto"/>
        <w:right w:val="none" w:sz="0" w:space="0" w:color="auto"/>
      </w:divBdr>
    </w:div>
    <w:div w:id="1414206902">
      <w:bodyDiv w:val="1"/>
      <w:marLeft w:val="0"/>
      <w:marRight w:val="0"/>
      <w:marTop w:val="0"/>
      <w:marBottom w:val="0"/>
      <w:divBdr>
        <w:top w:val="none" w:sz="0" w:space="0" w:color="auto"/>
        <w:left w:val="none" w:sz="0" w:space="0" w:color="auto"/>
        <w:bottom w:val="none" w:sz="0" w:space="0" w:color="auto"/>
        <w:right w:val="none" w:sz="0" w:space="0" w:color="auto"/>
      </w:divBdr>
    </w:div>
    <w:div w:id="1421220683">
      <w:bodyDiv w:val="1"/>
      <w:marLeft w:val="0"/>
      <w:marRight w:val="0"/>
      <w:marTop w:val="0"/>
      <w:marBottom w:val="0"/>
      <w:divBdr>
        <w:top w:val="none" w:sz="0" w:space="0" w:color="auto"/>
        <w:left w:val="none" w:sz="0" w:space="0" w:color="auto"/>
        <w:bottom w:val="none" w:sz="0" w:space="0" w:color="auto"/>
        <w:right w:val="none" w:sz="0" w:space="0" w:color="auto"/>
      </w:divBdr>
    </w:div>
    <w:div w:id="1435132868">
      <w:bodyDiv w:val="1"/>
      <w:marLeft w:val="0"/>
      <w:marRight w:val="0"/>
      <w:marTop w:val="0"/>
      <w:marBottom w:val="0"/>
      <w:divBdr>
        <w:top w:val="none" w:sz="0" w:space="0" w:color="auto"/>
        <w:left w:val="none" w:sz="0" w:space="0" w:color="auto"/>
        <w:bottom w:val="none" w:sz="0" w:space="0" w:color="auto"/>
        <w:right w:val="none" w:sz="0" w:space="0" w:color="auto"/>
      </w:divBdr>
    </w:div>
    <w:div w:id="1444616172">
      <w:bodyDiv w:val="1"/>
      <w:marLeft w:val="0"/>
      <w:marRight w:val="0"/>
      <w:marTop w:val="0"/>
      <w:marBottom w:val="0"/>
      <w:divBdr>
        <w:top w:val="none" w:sz="0" w:space="0" w:color="auto"/>
        <w:left w:val="none" w:sz="0" w:space="0" w:color="auto"/>
        <w:bottom w:val="none" w:sz="0" w:space="0" w:color="auto"/>
        <w:right w:val="none" w:sz="0" w:space="0" w:color="auto"/>
      </w:divBdr>
      <w:divsChild>
        <w:div w:id="1228227394">
          <w:marLeft w:val="0"/>
          <w:marRight w:val="0"/>
          <w:marTop w:val="0"/>
          <w:marBottom w:val="0"/>
          <w:divBdr>
            <w:top w:val="single" w:sz="6" w:space="0" w:color="FFFFFF"/>
            <w:left w:val="none" w:sz="0" w:space="0" w:color="auto"/>
            <w:bottom w:val="none" w:sz="0" w:space="0" w:color="auto"/>
            <w:right w:val="none" w:sz="0" w:space="0" w:color="auto"/>
          </w:divBdr>
          <w:divsChild>
            <w:div w:id="1668097972">
              <w:marLeft w:val="0"/>
              <w:marRight w:val="0"/>
              <w:marTop w:val="0"/>
              <w:marBottom w:val="0"/>
              <w:divBdr>
                <w:top w:val="none" w:sz="0" w:space="0" w:color="auto"/>
                <w:left w:val="none" w:sz="0" w:space="0" w:color="auto"/>
                <w:bottom w:val="none" w:sz="0" w:space="0" w:color="auto"/>
                <w:right w:val="none" w:sz="0" w:space="0" w:color="auto"/>
              </w:divBdr>
              <w:divsChild>
                <w:div w:id="254635749">
                  <w:marLeft w:val="0"/>
                  <w:marRight w:val="0"/>
                  <w:marTop w:val="0"/>
                  <w:marBottom w:val="0"/>
                  <w:divBdr>
                    <w:top w:val="none" w:sz="0" w:space="0" w:color="auto"/>
                    <w:left w:val="none" w:sz="0" w:space="0" w:color="auto"/>
                    <w:bottom w:val="none" w:sz="0" w:space="0" w:color="auto"/>
                    <w:right w:val="none" w:sz="0" w:space="0" w:color="auto"/>
                  </w:divBdr>
                  <w:divsChild>
                    <w:div w:id="911620697">
                      <w:marLeft w:val="0"/>
                      <w:marRight w:val="0"/>
                      <w:marTop w:val="0"/>
                      <w:marBottom w:val="0"/>
                      <w:divBdr>
                        <w:top w:val="none" w:sz="0" w:space="0" w:color="auto"/>
                        <w:left w:val="none" w:sz="0" w:space="0" w:color="auto"/>
                        <w:bottom w:val="none" w:sz="0" w:space="0" w:color="auto"/>
                        <w:right w:val="none" w:sz="0" w:space="0" w:color="auto"/>
                      </w:divBdr>
                      <w:divsChild>
                        <w:div w:id="201329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202203">
      <w:bodyDiv w:val="1"/>
      <w:marLeft w:val="0"/>
      <w:marRight w:val="0"/>
      <w:marTop w:val="0"/>
      <w:marBottom w:val="0"/>
      <w:divBdr>
        <w:top w:val="none" w:sz="0" w:space="0" w:color="auto"/>
        <w:left w:val="none" w:sz="0" w:space="0" w:color="auto"/>
        <w:bottom w:val="none" w:sz="0" w:space="0" w:color="auto"/>
        <w:right w:val="none" w:sz="0" w:space="0" w:color="auto"/>
      </w:divBdr>
    </w:div>
    <w:div w:id="1456481298">
      <w:bodyDiv w:val="1"/>
      <w:marLeft w:val="0"/>
      <w:marRight w:val="0"/>
      <w:marTop w:val="0"/>
      <w:marBottom w:val="0"/>
      <w:divBdr>
        <w:top w:val="none" w:sz="0" w:space="0" w:color="auto"/>
        <w:left w:val="none" w:sz="0" w:space="0" w:color="auto"/>
        <w:bottom w:val="none" w:sz="0" w:space="0" w:color="auto"/>
        <w:right w:val="none" w:sz="0" w:space="0" w:color="auto"/>
      </w:divBdr>
    </w:div>
    <w:div w:id="1471481083">
      <w:bodyDiv w:val="1"/>
      <w:marLeft w:val="0"/>
      <w:marRight w:val="0"/>
      <w:marTop w:val="0"/>
      <w:marBottom w:val="0"/>
      <w:divBdr>
        <w:top w:val="none" w:sz="0" w:space="0" w:color="auto"/>
        <w:left w:val="none" w:sz="0" w:space="0" w:color="auto"/>
        <w:bottom w:val="none" w:sz="0" w:space="0" w:color="auto"/>
        <w:right w:val="none" w:sz="0" w:space="0" w:color="auto"/>
      </w:divBdr>
    </w:div>
    <w:div w:id="1478380554">
      <w:bodyDiv w:val="1"/>
      <w:marLeft w:val="0"/>
      <w:marRight w:val="0"/>
      <w:marTop w:val="0"/>
      <w:marBottom w:val="0"/>
      <w:divBdr>
        <w:top w:val="none" w:sz="0" w:space="0" w:color="auto"/>
        <w:left w:val="none" w:sz="0" w:space="0" w:color="auto"/>
        <w:bottom w:val="none" w:sz="0" w:space="0" w:color="auto"/>
        <w:right w:val="none" w:sz="0" w:space="0" w:color="auto"/>
      </w:divBdr>
    </w:div>
    <w:div w:id="1503855827">
      <w:bodyDiv w:val="1"/>
      <w:marLeft w:val="0"/>
      <w:marRight w:val="0"/>
      <w:marTop w:val="0"/>
      <w:marBottom w:val="0"/>
      <w:divBdr>
        <w:top w:val="none" w:sz="0" w:space="0" w:color="auto"/>
        <w:left w:val="none" w:sz="0" w:space="0" w:color="auto"/>
        <w:bottom w:val="none" w:sz="0" w:space="0" w:color="auto"/>
        <w:right w:val="none" w:sz="0" w:space="0" w:color="auto"/>
      </w:divBdr>
    </w:div>
    <w:div w:id="1510951840">
      <w:bodyDiv w:val="1"/>
      <w:marLeft w:val="0"/>
      <w:marRight w:val="0"/>
      <w:marTop w:val="0"/>
      <w:marBottom w:val="0"/>
      <w:divBdr>
        <w:top w:val="none" w:sz="0" w:space="0" w:color="auto"/>
        <w:left w:val="none" w:sz="0" w:space="0" w:color="auto"/>
        <w:bottom w:val="none" w:sz="0" w:space="0" w:color="auto"/>
        <w:right w:val="none" w:sz="0" w:space="0" w:color="auto"/>
      </w:divBdr>
    </w:div>
    <w:div w:id="1526209619">
      <w:bodyDiv w:val="1"/>
      <w:marLeft w:val="0"/>
      <w:marRight w:val="0"/>
      <w:marTop w:val="0"/>
      <w:marBottom w:val="0"/>
      <w:divBdr>
        <w:top w:val="none" w:sz="0" w:space="0" w:color="auto"/>
        <w:left w:val="none" w:sz="0" w:space="0" w:color="auto"/>
        <w:bottom w:val="none" w:sz="0" w:space="0" w:color="auto"/>
        <w:right w:val="none" w:sz="0" w:space="0" w:color="auto"/>
      </w:divBdr>
    </w:div>
    <w:div w:id="1534805140">
      <w:bodyDiv w:val="1"/>
      <w:marLeft w:val="0"/>
      <w:marRight w:val="0"/>
      <w:marTop w:val="0"/>
      <w:marBottom w:val="0"/>
      <w:divBdr>
        <w:top w:val="none" w:sz="0" w:space="0" w:color="auto"/>
        <w:left w:val="none" w:sz="0" w:space="0" w:color="auto"/>
        <w:bottom w:val="none" w:sz="0" w:space="0" w:color="auto"/>
        <w:right w:val="none" w:sz="0" w:space="0" w:color="auto"/>
      </w:divBdr>
    </w:div>
    <w:div w:id="1544053706">
      <w:bodyDiv w:val="1"/>
      <w:marLeft w:val="0"/>
      <w:marRight w:val="0"/>
      <w:marTop w:val="0"/>
      <w:marBottom w:val="0"/>
      <w:divBdr>
        <w:top w:val="none" w:sz="0" w:space="0" w:color="auto"/>
        <w:left w:val="none" w:sz="0" w:space="0" w:color="auto"/>
        <w:bottom w:val="none" w:sz="0" w:space="0" w:color="auto"/>
        <w:right w:val="none" w:sz="0" w:space="0" w:color="auto"/>
      </w:divBdr>
    </w:div>
    <w:div w:id="1546062106">
      <w:bodyDiv w:val="1"/>
      <w:marLeft w:val="0"/>
      <w:marRight w:val="0"/>
      <w:marTop w:val="0"/>
      <w:marBottom w:val="0"/>
      <w:divBdr>
        <w:top w:val="none" w:sz="0" w:space="0" w:color="auto"/>
        <w:left w:val="none" w:sz="0" w:space="0" w:color="auto"/>
        <w:bottom w:val="none" w:sz="0" w:space="0" w:color="auto"/>
        <w:right w:val="none" w:sz="0" w:space="0" w:color="auto"/>
      </w:divBdr>
    </w:div>
    <w:div w:id="1558588644">
      <w:bodyDiv w:val="1"/>
      <w:marLeft w:val="0"/>
      <w:marRight w:val="0"/>
      <w:marTop w:val="0"/>
      <w:marBottom w:val="0"/>
      <w:divBdr>
        <w:top w:val="none" w:sz="0" w:space="0" w:color="auto"/>
        <w:left w:val="none" w:sz="0" w:space="0" w:color="auto"/>
        <w:bottom w:val="none" w:sz="0" w:space="0" w:color="auto"/>
        <w:right w:val="none" w:sz="0" w:space="0" w:color="auto"/>
      </w:divBdr>
    </w:div>
    <w:div w:id="1568956562">
      <w:bodyDiv w:val="1"/>
      <w:marLeft w:val="0"/>
      <w:marRight w:val="0"/>
      <w:marTop w:val="0"/>
      <w:marBottom w:val="0"/>
      <w:divBdr>
        <w:top w:val="none" w:sz="0" w:space="0" w:color="auto"/>
        <w:left w:val="none" w:sz="0" w:space="0" w:color="auto"/>
        <w:bottom w:val="none" w:sz="0" w:space="0" w:color="auto"/>
        <w:right w:val="none" w:sz="0" w:space="0" w:color="auto"/>
      </w:divBdr>
    </w:div>
    <w:div w:id="1570575238">
      <w:bodyDiv w:val="1"/>
      <w:marLeft w:val="0"/>
      <w:marRight w:val="0"/>
      <w:marTop w:val="0"/>
      <w:marBottom w:val="0"/>
      <w:divBdr>
        <w:top w:val="none" w:sz="0" w:space="0" w:color="auto"/>
        <w:left w:val="none" w:sz="0" w:space="0" w:color="auto"/>
        <w:bottom w:val="none" w:sz="0" w:space="0" w:color="auto"/>
        <w:right w:val="none" w:sz="0" w:space="0" w:color="auto"/>
      </w:divBdr>
    </w:div>
    <w:div w:id="1612474825">
      <w:bodyDiv w:val="1"/>
      <w:marLeft w:val="0"/>
      <w:marRight w:val="0"/>
      <w:marTop w:val="0"/>
      <w:marBottom w:val="0"/>
      <w:divBdr>
        <w:top w:val="none" w:sz="0" w:space="0" w:color="auto"/>
        <w:left w:val="none" w:sz="0" w:space="0" w:color="auto"/>
        <w:bottom w:val="none" w:sz="0" w:space="0" w:color="auto"/>
        <w:right w:val="none" w:sz="0" w:space="0" w:color="auto"/>
      </w:divBdr>
      <w:divsChild>
        <w:div w:id="885146835">
          <w:marLeft w:val="0"/>
          <w:marRight w:val="0"/>
          <w:marTop w:val="0"/>
          <w:marBottom w:val="0"/>
          <w:divBdr>
            <w:top w:val="single" w:sz="6" w:space="0" w:color="FFFFFF"/>
            <w:left w:val="none" w:sz="0" w:space="0" w:color="auto"/>
            <w:bottom w:val="none" w:sz="0" w:space="0" w:color="auto"/>
            <w:right w:val="none" w:sz="0" w:space="0" w:color="auto"/>
          </w:divBdr>
          <w:divsChild>
            <w:div w:id="1865168988">
              <w:marLeft w:val="0"/>
              <w:marRight w:val="0"/>
              <w:marTop w:val="0"/>
              <w:marBottom w:val="0"/>
              <w:divBdr>
                <w:top w:val="none" w:sz="0" w:space="0" w:color="auto"/>
                <w:left w:val="none" w:sz="0" w:space="0" w:color="auto"/>
                <w:bottom w:val="none" w:sz="0" w:space="0" w:color="auto"/>
                <w:right w:val="none" w:sz="0" w:space="0" w:color="auto"/>
              </w:divBdr>
              <w:divsChild>
                <w:div w:id="1824546735">
                  <w:marLeft w:val="0"/>
                  <w:marRight w:val="0"/>
                  <w:marTop w:val="0"/>
                  <w:marBottom w:val="0"/>
                  <w:divBdr>
                    <w:top w:val="none" w:sz="0" w:space="0" w:color="auto"/>
                    <w:left w:val="none" w:sz="0" w:space="0" w:color="auto"/>
                    <w:bottom w:val="none" w:sz="0" w:space="0" w:color="auto"/>
                    <w:right w:val="none" w:sz="0" w:space="0" w:color="auto"/>
                  </w:divBdr>
                  <w:divsChild>
                    <w:div w:id="132863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217430">
      <w:bodyDiv w:val="1"/>
      <w:marLeft w:val="0"/>
      <w:marRight w:val="0"/>
      <w:marTop w:val="0"/>
      <w:marBottom w:val="0"/>
      <w:divBdr>
        <w:top w:val="none" w:sz="0" w:space="0" w:color="auto"/>
        <w:left w:val="none" w:sz="0" w:space="0" w:color="auto"/>
        <w:bottom w:val="none" w:sz="0" w:space="0" w:color="auto"/>
        <w:right w:val="none" w:sz="0" w:space="0" w:color="auto"/>
      </w:divBdr>
    </w:div>
    <w:div w:id="1673142482">
      <w:bodyDiv w:val="1"/>
      <w:marLeft w:val="0"/>
      <w:marRight w:val="0"/>
      <w:marTop w:val="0"/>
      <w:marBottom w:val="0"/>
      <w:divBdr>
        <w:top w:val="none" w:sz="0" w:space="0" w:color="auto"/>
        <w:left w:val="none" w:sz="0" w:space="0" w:color="auto"/>
        <w:bottom w:val="none" w:sz="0" w:space="0" w:color="auto"/>
        <w:right w:val="none" w:sz="0" w:space="0" w:color="auto"/>
      </w:divBdr>
    </w:div>
    <w:div w:id="1673340388">
      <w:bodyDiv w:val="1"/>
      <w:marLeft w:val="0"/>
      <w:marRight w:val="0"/>
      <w:marTop w:val="0"/>
      <w:marBottom w:val="0"/>
      <w:divBdr>
        <w:top w:val="none" w:sz="0" w:space="0" w:color="auto"/>
        <w:left w:val="none" w:sz="0" w:space="0" w:color="auto"/>
        <w:bottom w:val="none" w:sz="0" w:space="0" w:color="auto"/>
        <w:right w:val="none" w:sz="0" w:space="0" w:color="auto"/>
      </w:divBdr>
    </w:div>
    <w:div w:id="1675373806">
      <w:bodyDiv w:val="1"/>
      <w:marLeft w:val="0"/>
      <w:marRight w:val="0"/>
      <w:marTop w:val="0"/>
      <w:marBottom w:val="0"/>
      <w:divBdr>
        <w:top w:val="none" w:sz="0" w:space="0" w:color="auto"/>
        <w:left w:val="none" w:sz="0" w:space="0" w:color="auto"/>
        <w:bottom w:val="none" w:sz="0" w:space="0" w:color="auto"/>
        <w:right w:val="none" w:sz="0" w:space="0" w:color="auto"/>
      </w:divBdr>
    </w:div>
    <w:div w:id="1676807262">
      <w:bodyDiv w:val="1"/>
      <w:marLeft w:val="0"/>
      <w:marRight w:val="0"/>
      <w:marTop w:val="0"/>
      <w:marBottom w:val="0"/>
      <w:divBdr>
        <w:top w:val="none" w:sz="0" w:space="0" w:color="auto"/>
        <w:left w:val="none" w:sz="0" w:space="0" w:color="auto"/>
        <w:bottom w:val="none" w:sz="0" w:space="0" w:color="auto"/>
        <w:right w:val="none" w:sz="0" w:space="0" w:color="auto"/>
      </w:divBdr>
    </w:div>
    <w:div w:id="1719545638">
      <w:bodyDiv w:val="1"/>
      <w:marLeft w:val="0"/>
      <w:marRight w:val="0"/>
      <w:marTop w:val="0"/>
      <w:marBottom w:val="0"/>
      <w:divBdr>
        <w:top w:val="none" w:sz="0" w:space="0" w:color="auto"/>
        <w:left w:val="none" w:sz="0" w:space="0" w:color="auto"/>
        <w:bottom w:val="none" w:sz="0" w:space="0" w:color="auto"/>
        <w:right w:val="none" w:sz="0" w:space="0" w:color="auto"/>
      </w:divBdr>
    </w:div>
    <w:div w:id="1735737629">
      <w:bodyDiv w:val="1"/>
      <w:marLeft w:val="0"/>
      <w:marRight w:val="0"/>
      <w:marTop w:val="0"/>
      <w:marBottom w:val="0"/>
      <w:divBdr>
        <w:top w:val="none" w:sz="0" w:space="0" w:color="auto"/>
        <w:left w:val="none" w:sz="0" w:space="0" w:color="auto"/>
        <w:bottom w:val="none" w:sz="0" w:space="0" w:color="auto"/>
        <w:right w:val="none" w:sz="0" w:space="0" w:color="auto"/>
      </w:divBdr>
    </w:div>
    <w:div w:id="1762725890">
      <w:bodyDiv w:val="1"/>
      <w:marLeft w:val="0"/>
      <w:marRight w:val="0"/>
      <w:marTop w:val="0"/>
      <w:marBottom w:val="0"/>
      <w:divBdr>
        <w:top w:val="none" w:sz="0" w:space="0" w:color="auto"/>
        <w:left w:val="none" w:sz="0" w:space="0" w:color="auto"/>
        <w:bottom w:val="none" w:sz="0" w:space="0" w:color="auto"/>
        <w:right w:val="none" w:sz="0" w:space="0" w:color="auto"/>
      </w:divBdr>
    </w:div>
    <w:div w:id="1776511026">
      <w:bodyDiv w:val="1"/>
      <w:marLeft w:val="0"/>
      <w:marRight w:val="0"/>
      <w:marTop w:val="0"/>
      <w:marBottom w:val="0"/>
      <w:divBdr>
        <w:top w:val="none" w:sz="0" w:space="0" w:color="auto"/>
        <w:left w:val="none" w:sz="0" w:space="0" w:color="auto"/>
        <w:bottom w:val="none" w:sz="0" w:space="0" w:color="auto"/>
        <w:right w:val="none" w:sz="0" w:space="0" w:color="auto"/>
      </w:divBdr>
    </w:div>
    <w:div w:id="1794254400">
      <w:bodyDiv w:val="1"/>
      <w:marLeft w:val="0"/>
      <w:marRight w:val="0"/>
      <w:marTop w:val="0"/>
      <w:marBottom w:val="0"/>
      <w:divBdr>
        <w:top w:val="none" w:sz="0" w:space="0" w:color="auto"/>
        <w:left w:val="none" w:sz="0" w:space="0" w:color="auto"/>
        <w:bottom w:val="none" w:sz="0" w:space="0" w:color="auto"/>
        <w:right w:val="none" w:sz="0" w:space="0" w:color="auto"/>
      </w:divBdr>
    </w:div>
    <w:div w:id="1841657231">
      <w:bodyDiv w:val="1"/>
      <w:marLeft w:val="0"/>
      <w:marRight w:val="0"/>
      <w:marTop w:val="0"/>
      <w:marBottom w:val="0"/>
      <w:divBdr>
        <w:top w:val="none" w:sz="0" w:space="0" w:color="auto"/>
        <w:left w:val="none" w:sz="0" w:space="0" w:color="auto"/>
        <w:bottom w:val="none" w:sz="0" w:space="0" w:color="auto"/>
        <w:right w:val="none" w:sz="0" w:space="0" w:color="auto"/>
      </w:divBdr>
    </w:div>
    <w:div w:id="1904563402">
      <w:bodyDiv w:val="1"/>
      <w:marLeft w:val="0"/>
      <w:marRight w:val="0"/>
      <w:marTop w:val="0"/>
      <w:marBottom w:val="0"/>
      <w:divBdr>
        <w:top w:val="none" w:sz="0" w:space="0" w:color="auto"/>
        <w:left w:val="none" w:sz="0" w:space="0" w:color="auto"/>
        <w:bottom w:val="none" w:sz="0" w:space="0" w:color="auto"/>
        <w:right w:val="none" w:sz="0" w:space="0" w:color="auto"/>
      </w:divBdr>
    </w:div>
    <w:div w:id="1907295947">
      <w:bodyDiv w:val="1"/>
      <w:marLeft w:val="0"/>
      <w:marRight w:val="0"/>
      <w:marTop w:val="0"/>
      <w:marBottom w:val="0"/>
      <w:divBdr>
        <w:top w:val="none" w:sz="0" w:space="0" w:color="auto"/>
        <w:left w:val="none" w:sz="0" w:space="0" w:color="auto"/>
        <w:bottom w:val="none" w:sz="0" w:space="0" w:color="auto"/>
        <w:right w:val="none" w:sz="0" w:space="0" w:color="auto"/>
      </w:divBdr>
    </w:div>
    <w:div w:id="1913419466">
      <w:bodyDiv w:val="1"/>
      <w:marLeft w:val="0"/>
      <w:marRight w:val="0"/>
      <w:marTop w:val="0"/>
      <w:marBottom w:val="0"/>
      <w:divBdr>
        <w:top w:val="none" w:sz="0" w:space="0" w:color="auto"/>
        <w:left w:val="none" w:sz="0" w:space="0" w:color="auto"/>
        <w:bottom w:val="none" w:sz="0" w:space="0" w:color="auto"/>
        <w:right w:val="none" w:sz="0" w:space="0" w:color="auto"/>
      </w:divBdr>
    </w:div>
    <w:div w:id="1923679422">
      <w:bodyDiv w:val="1"/>
      <w:marLeft w:val="0"/>
      <w:marRight w:val="0"/>
      <w:marTop w:val="0"/>
      <w:marBottom w:val="0"/>
      <w:divBdr>
        <w:top w:val="none" w:sz="0" w:space="0" w:color="auto"/>
        <w:left w:val="none" w:sz="0" w:space="0" w:color="auto"/>
        <w:bottom w:val="none" w:sz="0" w:space="0" w:color="auto"/>
        <w:right w:val="none" w:sz="0" w:space="0" w:color="auto"/>
      </w:divBdr>
    </w:div>
    <w:div w:id="1928419493">
      <w:bodyDiv w:val="1"/>
      <w:marLeft w:val="0"/>
      <w:marRight w:val="0"/>
      <w:marTop w:val="0"/>
      <w:marBottom w:val="0"/>
      <w:divBdr>
        <w:top w:val="none" w:sz="0" w:space="0" w:color="auto"/>
        <w:left w:val="none" w:sz="0" w:space="0" w:color="auto"/>
        <w:bottom w:val="none" w:sz="0" w:space="0" w:color="auto"/>
        <w:right w:val="none" w:sz="0" w:space="0" w:color="auto"/>
      </w:divBdr>
    </w:div>
    <w:div w:id="1940601843">
      <w:bodyDiv w:val="1"/>
      <w:marLeft w:val="0"/>
      <w:marRight w:val="0"/>
      <w:marTop w:val="0"/>
      <w:marBottom w:val="0"/>
      <w:divBdr>
        <w:top w:val="none" w:sz="0" w:space="0" w:color="auto"/>
        <w:left w:val="none" w:sz="0" w:space="0" w:color="auto"/>
        <w:bottom w:val="none" w:sz="0" w:space="0" w:color="auto"/>
        <w:right w:val="none" w:sz="0" w:space="0" w:color="auto"/>
      </w:divBdr>
    </w:div>
    <w:div w:id="1968464906">
      <w:bodyDiv w:val="1"/>
      <w:marLeft w:val="0"/>
      <w:marRight w:val="0"/>
      <w:marTop w:val="0"/>
      <w:marBottom w:val="0"/>
      <w:divBdr>
        <w:top w:val="none" w:sz="0" w:space="0" w:color="auto"/>
        <w:left w:val="none" w:sz="0" w:space="0" w:color="auto"/>
        <w:bottom w:val="none" w:sz="0" w:space="0" w:color="auto"/>
        <w:right w:val="none" w:sz="0" w:space="0" w:color="auto"/>
      </w:divBdr>
    </w:div>
    <w:div w:id="1972516747">
      <w:bodyDiv w:val="1"/>
      <w:marLeft w:val="0"/>
      <w:marRight w:val="0"/>
      <w:marTop w:val="0"/>
      <w:marBottom w:val="0"/>
      <w:divBdr>
        <w:top w:val="none" w:sz="0" w:space="0" w:color="auto"/>
        <w:left w:val="none" w:sz="0" w:space="0" w:color="auto"/>
        <w:bottom w:val="none" w:sz="0" w:space="0" w:color="auto"/>
        <w:right w:val="none" w:sz="0" w:space="0" w:color="auto"/>
      </w:divBdr>
    </w:div>
    <w:div w:id="1982687056">
      <w:bodyDiv w:val="1"/>
      <w:marLeft w:val="0"/>
      <w:marRight w:val="0"/>
      <w:marTop w:val="0"/>
      <w:marBottom w:val="0"/>
      <w:divBdr>
        <w:top w:val="none" w:sz="0" w:space="0" w:color="auto"/>
        <w:left w:val="none" w:sz="0" w:space="0" w:color="auto"/>
        <w:bottom w:val="none" w:sz="0" w:space="0" w:color="auto"/>
        <w:right w:val="none" w:sz="0" w:space="0" w:color="auto"/>
      </w:divBdr>
    </w:div>
    <w:div w:id="1989285224">
      <w:bodyDiv w:val="1"/>
      <w:marLeft w:val="0"/>
      <w:marRight w:val="0"/>
      <w:marTop w:val="0"/>
      <w:marBottom w:val="0"/>
      <w:divBdr>
        <w:top w:val="none" w:sz="0" w:space="0" w:color="auto"/>
        <w:left w:val="none" w:sz="0" w:space="0" w:color="auto"/>
        <w:bottom w:val="none" w:sz="0" w:space="0" w:color="auto"/>
        <w:right w:val="none" w:sz="0" w:space="0" w:color="auto"/>
      </w:divBdr>
      <w:divsChild>
        <w:div w:id="598488007">
          <w:marLeft w:val="0"/>
          <w:marRight w:val="0"/>
          <w:marTop w:val="0"/>
          <w:marBottom w:val="0"/>
          <w:divBdr>
            <w:top w:val="none" w:sz="0" w:space="0" w:color="auto"/>
            <w:left w:val="none" w:sz="0" w:space="0" w:color="auto"/>
            <w:bottom w:val="none" w:sz="0" w:space="0" w:color="auto"/>
            <w:right w:val="none" w:sz="0" w:space="0" w:color="auto"/>
          </w:divBdr>
        </w:div>
      </w:divsChild>
    </w:div>
    <w:div w:id="2003044061">
      <w:bodyDiv w:val="1"/>
      <w:marLeft w:val="0"/>
      <w:marRight w:val="0"/>
      <w:marTop w:val="0"/>
      <w:marBottom w:val="0"/>
      <w:divBdr>
        <w:top w:val="none" w:sz="0" w:space="0" w:color="auto"/>
        <w:left w:val="none" w:sz="0" w:space="0" w:color="auto"/>
        <w:bottom w:val="none" w:sz="0" w:space="0" w:color="auto"/>
        <w:right w:val="none" w:sz="0" w:space="0" w:color="auto"/>
      </w:divBdr>
    </w:div>
    <w:div w:id="2016571067">
      <w:bodyDiv w:val="1"/>
      <w:marLeft w:val="0"/>
      <w:marRight w:val="0"/>
      <w:marTop w:val="0"/>
      <w:marBottom w:val="0"/>
      <w:divBdr>
        <w:top w:val="none" w:sz="0" w:space="0" w:color="auto"/>
        <w:left w:val="none" w:sz="0" w:space="0" w:color="auto"/>
        <w:bottom w:val="none" w:sz="0" w:space="0" w:color="auto"/>
        <w:right w:val="none" w:sz="0" w:space="0" w:color="auto"/>
      </w:divBdr>
    </w:div>
    <w:div w:id="2018924896">
      <w:bodyDiv w:val="1"/>
      <w:marLeft w:val="0"/>
      <w:marRight w:val="0"/>
      <w:marTop w:val="0"/>
      <w:marBottom w:val="0"/>
      <w:divBdr>
        <w:top w:val="none" w:sz="0" w:space="0" w:color="auto"/>
        <w:left w:val="none" w:sz="0" w:space="0" w:color="auto"/>
        <w:bottom w:val="none" w:sz="0" w:space="0" w:color="auto"/>
        <w:right w:val="none" w:sz="0" w:space="0" w:color="auto"/>
      </w:divBdr>
    </w:div>
    <w:div w:id="2106726652">
      <w:bodyDiv w:val="1"/>
      <w:marLeft w:val="0"/>
      <w:marRight w:val="0"/>
      <w:marTop w:val="0"/>
      <w:marBottom w:val="0"/>
      <w:divBdr>
        <w:top w:val="none" w:sz="0" w:space="0" w:color="auto"/>
        <w:left w:val="none" w:sz="0" w:space="0" w:color="auto"/>
        <w:bottom w:val="none" w:sz="0" w:space="0" w:color="auto"/>
        <w:right w:val="none" w:sz="0" w:space="0" w:color="auto"/>
      </w:divBdr>
    </w:div>
    <w:div w:id="2109881905">
      <w:bodyDiv w:val="1"/>
      <w:marLeft w:val="0"/>
      <w:marRight w:val="0"/>
      <w:marTop w:val="0"/>
      <w:marBottom w:val="0"/>
      <w:divBdr>
        <w:top w:val="none" w:sz="0" w:space="0" w:color="auto"/>
        <w:left w:val="none" w:sz="0" w:space="0" w:color="auto"/>
        <w:bottom w:val="none" w:sz="0" w:space="0" w:color="auto"/>
        <w:right w:val="none" w:sz="0" w:space="0" w:color="auto"/>
      </w:divBdr>
    </w:div>
    <w:div w:id="2120636372">
      <w:bodyDiv w:val="1"/>
      <w:marLeft w:val="0"/>
      <w:marRight w:val="0"/>
      <w:marTop w:val="0"/>
      <w:marBottom w:val="0"/>
      <w:divBdr>
        <w:top w:val="none" w:sz="0" w:space="0" w:color="auto"/>
        <w:left w:val="none" w:sz="0" w:space="0" w:color="auto"/>
        <w:bottom w:val="none" w:sz="0" w:space="0" w:color="auto"/>
        <w:right w:val="none" w:sz="0" w:space="0" w:color="auto"/>
      </w:divBdr>
    </w:div>
    <w:div w:id="2126919384">
      <w:bodyDiv w:val="1"/>
      <w:marLeft w:val="0"/>
      <w:marRight w:val="0"/>
      <w:marTop w:val="0"/>
      <w:marBottom w:val="0"/>
      <w:divBdr>
        <w:top w:val="none" w:sz="0" w:space="0" w:color="auto"/>
        <w:left w:val="none" w:sz="0" w:space="0" w:color="auto"/>
        <w:bottom w:val="none" w:sz="0" w:space="0" w:color="auto"/>
        <w:right w:val="none" w:sz="0" w:space="0" w:color="auto"/>
      </w:divBdr>
    </w:div>
    <w:div w:id="2130004214">
      <w:bodyDiv w:val="1"/>
      <w:marLeft w:val="0"/>
      <w:marRight w:val="0"/>
      <w:marTop w:val="0"/>
      <w:marBottom w:val="0"/>
      <w:divBdr>
        <w:top w:val="none" w:sz="0" w:space="0" w:color="auto"/>
        <w:left w:val="none" w:sz="0" w:space="0" w:color="auto"/>
        <w:bottom w:val="none" w:sz="0" w:space="0" w:color="auto"/>
        <w:right w:val="none" w:sz="0" w:space="0" w:color="auto"/>
      </w:divBdr>
    </w:div>
    <w:div w:id="21350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team.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AE59C-C715-461F-9F48-F6AB97B88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11</Pages>
  <Words>4367</Words>
  <Characters>26208</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RESBUD S</vt:lpstr>
    </vt:vector>
  </TitlesOfParts>
  <Company>HP</Company>
  <LinksUpToDate>false</LinksUpToDate>
  <CharactersWithSpaces>30514</CharactersWithSpaces>
  <SharedDoc>false</SharedDoc>
  <HLinks>
    <vt:vector size="72" baseType="variant">
      <vt:variant>
        <vt:i4>1245272</vt:i4>
      </vt:variant>
      <vt:variant>
        <vt:i4>69</vt:i4>
      </vt:variant>
      <vt:variant>
        <vt:i4>0</vt:i4>
      </vt:variant>
      <vt:variant>
        <vt:i4>5</vt:i4>
      </vt:variant>
      <vt:variant>
        <vt:lpwstr>http://www.opteam.pl/</vt:lpwstr>
      </vt:variant>
      <vt:variant>
        <vt:lpwstr/>
      </vt:variant>
      <vt:variant>
        <vt:i4>1835057</vt:i4>
      </vt:variant>
      <vt:variant>
        <vt:i4>62</vt:i4>
      </vt:variant>
      <vt:variant>
        <vt:i4>0</vt:i4>
      </vt:variant>
      <vt:variant>
        <vt:i4>5</vt:i4>
      </vt:variant>
      <vt:variant>
        <vt:lpwstr/>
      </vt:variant>
      <vt:variant>
        <vt:lpwstr>_Toc332111183</vt:lpwstr>
      </vt:variant>
      <vt:variant>
        <vt:i4>1835057</vt:i4>
      </vt:variant>
      <vt:variant>
        <vt:i4>56</vt:i4>
      </vt:variant>
      <vt:variant>
        <vt:i4>0</vt:i4>
      </vt:variant>
      <vt:variant>
        <vt:i4>5</vt:i4>
      </vt:variant>
      <vt:variant>
        <vt:lpwstr/>
      </vt:variant>
      <vt:variant>
        <vt:lpwstr>_Toc332111182</vt:lpwstr>
      </vt:variant>
      <vt:variant>
        <vt:i4>1835057</vt:i4>
      </vt:variant>
      <vt:variant>
        <vt:i4>50</vt:i4>
      </vt:variant>
      <vt:variant>
        <vt:i4>0</vt:i4>
      </vt:variant>
      <vt:variant>
        <vt:i4>5</vt:i4>
      </vt:variant>
      <vt:variant>
        <vt:lpwstr/>
      </vt:variant>
      <vt:variant>
        <vt:lpwstr>_Toc332111181</vt:lpwstr>
      </vt:variant>
      <vt:variant>
        <vt:i4>1835057</vt:i4>
      </vt:variant>
      <vt:variant>
        <vt:i4>44</vt:i4>
      </vt:variant>
      <vt:variant>
        <vt:i4>0</vt:i4>
      </vt:variant>
      <vt:variant>
        <vt:i4>5</vt:i4>
      </vt:variant>
      <vt:variant>
        <vt:lpwstr/>
      </vt:variant>
      <vt:variant>
        <vt:lpwstr>_Toc332111180</vt:lpwstr>
      </vt:variant>
      <vt:variant>
        <vt:i4>1245233</vt:i4>
      </vt:variant>
      <vt:variant>
        <vt:i4>38</vt:i4>
      </vt:variant>
      <vt:variant>
        <vt:i4>0</vt:i4>
      </vt:variant>
      <vt:variant>
        <vt:i4>5</vt:i4>
      </vt:variant>
      <vt:variant>
        <vt:lpwstr/>
      </vt:variant>
      <vt:variant>
        <vt:lpwstr>_Toc332111179</vt:lpwstr>
      </vt:variant>
      <vt:variant>
        <vt:i4>1245233</vt:i4>
      </vt:variant>
      <vt:variant>
        <vt:i4>32</vt:i4>
      </vt:variant>
      <vt:variant>
        <vt:i4>0</vt:i4>
      </vt:variant>
      <vt:variant>
        <vt:i4>5</vt:i4>
      </vt:variant>
      <vt:variant>
        <vt:lpwstr/>
      </vt:variant>
      <vt:variant>
        <vt:lpwstr>_Toc332111178</vt:lpwstr>
      </vt:variant>
      <vt:variant>
        <vt:i4>1245233</vt:i4>
      </vt:variant>
      <vt:variant>
        <vt:i4>26</vt:i4>
      </vt:variant>
      <vt:variant>
        <vt:i4>0</vt:i4>
      </vt:variant>
      <vt:variant>
        <vt:i4>5</vt:i4>
      </vt:variant>
      <vt:variant>
        <vt:lpwstr/>
      </vt:variant>
      <vt:variant>
        <vt:lpwstr>_Toc332111177</vt:lpwstr>
      </vt:variant>
      <vt:variant>
        <vt:i4>1245233</vt:i4>
      </vt:variant>
      <vt:variant>
        <vt:i4>20</vt:i4>
      </vt:variant>
      <vt:variant>
        <vt:i4>0</vt:i4>
      </vt:variant>
      <vt:variant>
        <vt:i4>5</vt:i4>
      </vt:variant>
      <vt:variant>
        <vt:lpwstr/>
      </vt:variant>
      <vt:variant>
        <vt:lpwstr>_Toc332111176</vt:lpwstr>
      </vt:variant>
      <vt:variant>
        <vt:i4>1245233</vt:i4>
      </vt:variant>
      <vt:variant>
        <vt:i4>14</vt:i4>
      </vt:variant>
      <vt:variant>
        <vt:i4>0</vt:i4>
      </vt:variant>
      <vt:variant>
        <vt:i4>5</vt:i4>
      </vt:variant>
      <vt:variant>
        <vt:lpwstr/>
      </vt:variant>
      <vt:variant>
        <vt:lpwstr>_Toc332111175</vt:lpwstr>
      </vt:variant>
      <vt:variant>
        <vt:i4>1245233</vt:i4>
      </vt:variant>
      <vt:variant>
        <vt:i4>8</vt:i4>
      </vt:variant>
      <vt:variant>
        <vt:i4>0</vt:i4>
      </vt:variant>
      <vt:variant>
        <vt:i4>5</vt:i4>
      </vt:variant>
      <vt:variant>
        <vt:lpwstr/>
      </vt:variant>
      <vt:variant>
        <vt:lpwstr>_Toc332111174</vt:lpwstr>
      </vt:variant>
      <vt:variant>
        <vt:i4>1245233</vt:i4>
      </vt:variant>
      <vt:variant>
        <vt:i4>2</vt:i4>
      </vt:variant>
      <vt:variant>
        <vt:i4>0</vt:i4>
      </vt:variant>
      <vt:variant>
        <vt:i4>5</vt:i4>
      </vt:variant>
      <vt:variant>
        <vt:lpwstr/>
      </vt:variant>
      <vt:variant>
        <vt:lpwstr>_Toc332111173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RESBUD S</dc:title>
  <dc:creator>Artur Resler</dc:creator>
  <cp:lastModifiedBy>Agnieszka Orłowska</cp:lastModifiedBy>
  <cp:revision>18</cp:revision>
  <cp:lastPrinted>2016-08-24T13:30:00Z</cp:lastPrinted>
  <dcterms:created xsi:type="dcterms:W3CDTF">2016-08-22T09:12:00Z</dcterms:created>
  <dcterms:modified xsi:type="dcterms:W3CDTF">2016-11-04T12:11:00Z</dcterms:modified>
</cp:coreProperties>
</file>